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ATA/418/2012 vom 3. Juli 2012</w:t>
      </w:r>
    </w:p>
    <w:p>
      <w:r>
        <w:t>GE Cour de justice, 2012-07-03, FR</w:t>
      </w:r>
    </w:p>
    <w:p>
      <w:r>
        <w:rPr>
          <w:b/>
        </w:rPr>
        <w:t xml:space="preserve">Quelle: </w:t>
      </w:r>
      <w:r>
        <w:t>https://mcp.opencaselaw.ch/entscheid/ge_gerichte_ATA_418_2012</w:t>
      </w:r>
    </w:p>
    <w:p>
      <w:r>
        <w:t>FR: GE_GERICHTE ATA/418/2012 du 3 juillet 2012</w:t>
      </w:r>
    </w:p>
    <w:p>
      <w:r>
        <w:t>IT: GE_GERICHTE ATA/418/2012 del 3 luglio 2012</w:t>
      </w:r>
    </w:p>
    <w:p>
      <w:pPr>
        <w:pStyle w:val="Heading2"/>
      </w:pPr>
      <w:r>
        <w:t>Regeste</w:t>
      </w:r>
    </w:p>
    <w:p>
      <w:r>
        <w:t>Résumé: Recourant placé en cellule forte deux jours et privé du travail en cuisine avec la possibilité de se réinscrire sur la liste d'attente, au motif qu'il a refusé d'obtempérer aux instructions du personnel de surveillance et a menacé ce dernier. Le recourant conserve un intérêt juridique l'examen de son recours, dès lors qu'il se trouve encore en détention et que la situation pourrait à nouveau se présenter. La décision de punir le recourant est suffisamment motivée et justifiée. Elle respecte le principe de la proportionnalité, eu égard au maximum de cinq jours de détention en cellule forte prévu par la loi.</w:t>
      </w:r>
    </w:p>
    <w:p>
      <w:pPr>
        <w:pStyle w:val="Heading2"/>
      </w:pPr>
      <w:r>
        <w:t>Erwägungen</w:t>
      </w:r>
    </w:p>
    <w:p>
      <w:r>
        <w:rPr>
          <w:b/>
        </w:rPr>
        <w:t>E. 12</w:t>
      </w:r>
    </w:p>
    <w:p>
      <w:r>
        <w:t>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c. Un intérêt digne de protection suppose un intérêt actuel à obtenir l’annulation de la décision attaquée (ATF 135 I 79 consid. 1 p. 81 ; 128 II 34 consid. 1b p. 36 ; Arrêt du Tribunal fédéral 1C.133/2009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w:t>
      </w:r>
    </w:p>
    <w:p>
      <w:r>
        <w:t>- 8/12 - A/1383/2011 p. 365 ; 128 II 34 précité ; Arrêt du Tribunal fédéral 6B.34/2009 du 20 avril 2009 consid. 3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1C.133/2009 précité).</w:t>
      </w:r>
    </w:p>
    <w:p>
      <w:r>
        <w:t>e. Quand bien même le recourant a exécuté la mesure contestée, la situation pourrait se présenter à nouveau. Dès lors, la chambre administrative renoncera à l'exigence de l'intérêt actuel pour statuer (ATA/266/2009 du 26 mai 2009). 3)</w:t>
      </w:r>
    </w:p>
    <w:p>
      <w:r>
        <w:t>Le recourant invoque, dans un grief non individualisé mais d'ordre formel et qu'il convient dès lors d'examiner en premier (Arrêt du Tribunal fédéral 2C_166/2012 du 10 mai 2012 consid. 4 et les arrêts cités), la violation de son droit d'être entendu. Il se plaint d'un défaut de motivation de la décision attaquée. 4)</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1C_311/2010 du 7 octobre 2010 consid. 3.1 ; 9C_831/2009 du 12 août 2010 et arrêts cités ; ATA/724/2010 du 23 novembre 2010 consid. 3). 5)</w:t>
      </w:r>
    </w:p>
    <w:p>
      <w:r>
        <w:t>En l'espèce, le recourant a été entendu préalablement au prononcé de la sanction qui lui a été infligée par les deux sous-chefs le jour de l'incident et aussi le lendemain, soit le 27 mars 2011, par le gardien-chef M. M______. L'intéressé a pu comprendre que la décision de sa mise en cellule forte pour une durée de deux jours ainsi que la suspension de son travail à la cuisine étaient dues au fait qu'il avait refusé d'obtempérer aux instructions du personnel de surveillance et avait menacé ce dernier. Le recourant a ainsi été informé des faits qui lui étaient reprochés ainsi que des motifs qui fondaient la décision. Il a pu se rendre compte de la portée de celle-ci et l’a attaquée en connaissance de cause au sens de la jurisprudence précitée.</w:t>
      </w:r>
    </w:p>
    <w:p>
      <w:r>
        <w:t>Le grief de défaut de motivation, et donc de violation du droit d'être entendu, sera ainsi écarté. 6)</w:t>
      </w:r>
    </w:p>
    <w:p>
      <w:r>
        <w:t>Le recourant allègue également que le principe in dubio pro reo ainsi que l'art. 47 RRIP ont été violés. L'autorité intimée n’aurait pas démontré qu'il avait commis une infraction au règlement. En tout état, la sanction qui lui avait été infligée était disproportionnée, eu égard à la faute qui lui était reprochée.</w:t>
      </w:r>
    </w:p>
    <w:p>
      <w:r>
        <w:t>- 9/12 - A/1383/2011 7)</w:t>
      </w:r>
    </w:p>
    <w:p>
      <w:r>
        <w:t>La présomption d'innocence, garantie par les art. 14 § 2 du Pacte international relatif aux droits civils et politiques, conclu à New York le</w:t>
      </w:r>
    </w:p>
    <w:p>
      <w:r>
        <w:rPr>
          <w:b/>
        </w:rPr>
        <w:t>E. 16</w:t>
      </w:r>
    </w:p>
    <w:p>
      <w:r>
        <w:t>décembre 1966 (Pacte ONU II - RS 0.103.2), 6 § 2 de la Convention européenne de la sauvegarde des droits de l'homme des libertés fondamentales du 4 novembre 1950 (CEDH - RS 0.101) et 32 al. 1 Cst., et par l'art. 10 du Code de procédure pénale suisse du 5 octobre 2007 (CPP - RS 312.0), ainsi que son corollaire, le principe in dubio pro reo, concernent tant le fardeau de la preuve que l'appréciation des preuves (ATF 120 Ia 31 consid. 2c p. 36 et les références citées).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(Arrêt du Tribunal fédéral 6B_91/2011du 26 avril 2011 consid. 3.2 ; ATF 120 Ia 31 consid. 2c p. 37 et la jurisprudence citée). Elle peut donc être invoquée par celui qui fait l'objet d'une accusation en matière pénale, c'est-à-dire qui est exposé à un verdict de culpabilité ou à une sanction, même administrative ou disciplinaire si elle revêt un caractère punitif (Arrêt du Tribunal fédéral 1P.356/2006 du 29 août 2006 consid. 4 ; ATF 115 Ia 406 consid. 3b/aa p. 409/410 et la jurisprudence citée). 8)</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qui vont du blâme, en passant par l'amende, à la suspension du travail. Le choix à opérer dans un cas particulier obéit au principe de la proportionnalité ; il n'est pas gouverné seulement par des motifs tenant aux circonstances subjectives de la violation incriminée ou à la prévention générale, mais aussi par l'intérêt, objectif, de l'administration à restaurer le rapport de confiance que l'indiscipline a ébranlé : en quelque sorte, le maintien des conditions d'intégrité dans le fonctionnement de l'appareil étatique (P. MOOR, Droit administratif, vol. 2, 3ème éd., 2011, pp. 142 à 145 et la jurisprudence citée). 9)</w:t>
      </w:r>
    </w:p>
    <w:p>
      <w:r>
        <w:t>Un détenu doit respecter les dispositions du RRIP, les instructions du directeur de l'office pénitentiaire et les ordres du directeur et des fonctionnaires de la prison (art. 42 RRIP). Il doit observer une attitude correcte à l’égard du personnel de la prison (art. 44 RRIP).</w:t>
      </w:r>
    </w:p>
    <w:p>
      <w:r>
        <w:t>- 10/12 - A/1383/2011 10) A teneur de l'art. 47 al. 1 RRIP, si un détenu enfreint le règlement, une sanction proportionnée à sa faute, ainsi qu'à la nature et à la gravité de l'infraction, lui est infligée. L'art. 47 al. 3 RRIP prévoit le catalogue des sanctions qui peuvent être prises, dans l'ordre de gravité suivant :</w:t>
      </w:r>
    </w:p>
    <w:p>
      <w:r>
        <w:t>« Le directeur est compétent pour prononcer les sanctions suivantes :</w:t>
      </w:r>
    </w:p>
    <w:p>
      <w:r>
        <w:t>a) suppression de visite pour 15 jours au plus ;</w:t>
      </w:r>
    </w:p>
    <w:p>
      <w:r>
        <w:t>b) suppression des promenades collectives ;</w:t>
      </w:r>
    </w:p>
    <w:p>
      <w:r>
        <w:t>c) suppression d'achat pour 15 jours au plus ;</w:t>
      </w:r>
    </w:p>
    <w:p>
      <w:r>
        <w:t>d) suppression de l'usage des moyens audiovisuels pour 15 jours au plus ;</w:t>
      </w:r>
    </w:p>
    <w:p>
      <w:r>
        <w:t>e) privation de travail ;</w:t>
      </w:r>
    </w:p>
    <w:p>
      <w:r>
        <w:t>f) placement en cellule forte pour 5 jours au plus ».</w:t>
      </w:r>
    </w:p>
    <w:p>
      <w:r>
        <w:t>Le cumul des sanctions précitées est possible (art. 47 al. 4).</w:t>
      </w:r>
    </w:p>
    <w:p>
      <w:r>
        <w:t>Le directeur de l'office pénitentiaire peut ordonner, sur proposition du directeur de la prison, le placement en cellule forte pour dix jours au plus (art. 47 al. 5). 11) En l’occurrence, le recourant nie avoir menacé l'agent de surveillance et conteste les faits qui lui sont reprochés. Cependant, lesdits faits, soit le refus d'obtempérer aux instructions du personnel de surveillance et le geste menaçant à l'encontre de M. B_____, ont été constatés par les gardiens, les sous-chefs ainsi que par l'appointé U_____ dans leurs rapports du 26 mars 2011. Le personnel de surveillance n’a aucun intérêt personnel à rapporter à l’encontre d’un détenu des faits imaginaires. En outre, il ressort du rapport de M. M______, établi le 27 mars 2011, que l'intéressé a admis avoir refusé d'obtempérer aux instructions du personnel de surveillance.</w:t>
      </w:r>
    </w:p>
    <w:p>
      <w:r>
        <w:t>De plus, lors des audiences de comparutions personnelles des parties et d’enquêtes, personne n'a confirmé les dires du recourant, soit le fait qu'il ait fait signe de montrer l'extérieur. Tous les témoins ont confirmé la version retenue par l'intimée.</w:t>
      </w:r>
    </w:p>
    <w:p>
      <w:r>
        <w:t>Dès lors, M. Z______ a incontestablement contrevenu aux art. 42 et 44 RRIP. 12) La quotité de la sanction est justifiée par la gravité des actes dont le recourant s'est rendu coupable. Ces incidents se sont déroulés dans la cuisine de l'établissement où 33 détenus sont occupés quotidiennement et où se trouvent de nombreux objets contondants et dangereux pouvant aisément être utilisés comme</w:t>
      </w:r>
    </w:p>
    <w:p>
      <w:r>
        <w:t>- 11/12 - A/1383/2011 armes. Un acte d'insoumission ou un refus d'obtempérer est au surplus de nature à compromettre gravement la tranquillité de l'établissement et la sécurité du personnel notamment. De plus, une relation de confiance doit prévaloir entre le personnel de surveillance et les détenus placés en ateliers, de surcroît à la cuisine. Une menace envers le personnel fait partie des actes les plus graves qui donnent lieu aux sanctions les plus sévères. Par ailleurs, il ressort du dossier que le recourant a déjà rencontré des problèmes relationnels avec M. B_____ car il considère savoir cuisiner mieux que lui, et aussi parce que l'intéressé a de la peine à respecter les jeunes gardiens, même s’il le conteste.</w:t>
      </w:r>
    </w:p>
    <w:p>
      <w:r>
        <w:t>Dans ces circonstances, la décision de punir le recourant par un placement de deux jours en cellule forte et par une privation de travail à la cuisine est justifiée et respecte le principe de la proportionnalité, eu égard au maximum de cinq jours prévu par l’art. 44 RRIP précité. 13) Mal fondé, le recours sera rejeté.</w:t>
      </w:r>
    </w:p>
    <w:p>
      <w:r>
        <w:t>Le recourant étant au bénéfice de l'assistance juridique, aucun émolument ne sera perçu (art. 12 du règlement sur le frais, émoluments et indemnités en procédure administrative du juillet 1986 - RFPA - E 5 10.03). Vu l’issue du litige, aucune indemnité de procédure ne lui sera allouée. Les frais d’interprète à hauteur de CHF 170.- seront laissés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