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ATA/417/2005 vom 7. Juni 2005</w:t>
      </w:r>
    </w:p>
    <w:p>
      <w:r>
        <w:t>GE Cour de justice, 2005-06-07, FR</w:t>
      </w:r>
    </w:p>
    <w:p>
      <w:r>
        <w:rPr>
          <w:b/>
        </w:rPr>
        <w:t xml:space="preserve">Quelle: </w:t>
      </w:r>
      <w:r>
        <w:t>https://mcp.opencaselaw.ch/entscheid/ge_gerichte_ATA_417_2005</w:t>
      </w:r>
    </w:p>
    <w:p>
      <w:r>
        <w:t>FR: GE_GERICHTE ATA/417/2005 du 7 juin 2005</w:t>
      </w:r>
    </w:p>
    <w:p>
      <w:r>
        <w:t>IT: GE_GERICHTE ATA/417/2005 del 7 giugno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de ce point de vue (art. 56A de la loi sur l'organisation judiciaire du 22 novembre 1941 - LOJ - E 2 05 - et 63 al. 1er let. a LPA).</w:t>
      </w:r>
    </w:p>
    <w:p>
      <w:r>
        <w:rPr>
          <w:b/>
        </w:rPr>
        <w:t>E. 2</w:t>
      </w:r>
    </w:p>
    <w:p>
      <w:r>
        <w:t>a. Selon l'article 65 alinéa 1er LPA, l'acte de recours contient sous peine d’irrecevabilité, la désignation de la décision attaquée et les conclusions du recourant.</w:t>
      </w:r>
    </w:p>
    <w:p>
      <w:r>
        <w:t>En outre, il doit contenir l'exposé des motifs ainsi que l'indication des moyens de preuve. Les pièces dont dispose le recourant doivent être jointes. À défaut, un bref délai pour satisfaire à ces exigences est fixé au recourant, sous peine d’irrecevabilité (art. 65 al. 2 LPA).</w:t>
      </w:r>
    </w:p>
    <w:p>
      <w:r>
        <w:t>b. En l’espèce, le recourant a été dûment informé que son recours ne satisfaisait pas aux exigences de la loi. Un délai pour réparer ce vice de forme lui a été accordé. La lettre signature du 27 avril n’a pas été honorée de la moindre manifestation du recourant, qui n’a ni complété sa motivation ni produit de pièces.</w:t>
      </w:r>
    </w:p>
    <w:p>
      <w:r>
        <w:t>Il y a lieu dès lors de prononcer l’irrecevabilité du recours.</w:t>
      </w:r>
    </w:p>
    <w:p>
      <w:r>
        <w:rPr>
          <w:b/>
        </w:rPr>
        <w:t>E. 3</w:t>
      </w:r>
    </w:p>
    <w:p>
      <w:r>
        <w:t>Un émolument de CHF 300.- sera mis à la charge du recourant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