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ATA/416/2025 vom 15. April 2025</w:t>
      </w:r>
    </w:p>
    <w:p>
      <w:r>
        <w:t>GE Cour de justice, 2025-04-15, FR</w:t>
      </w:r>
    </w:p>
    <w:p>
      <w:r>
        <w:rPr>
          <w:b/>
        </w:rPr>
        <w:t xml:space="preserve">Quelle: </w:t>
      </w:r>
      <w:r>
        <w:t>https://mcp.opencaselaw.ch/entscheid/ge_gerichte_ATA_416_2025</w:t>
      </w:r>
    </w:p>
    <w:p>
      <w:r>
        <w:t>FR: GE_GERICHTE ATA/416/2025 du 15 avril 2025</w:t>
      </w:r>
    </w:p>
    <w:p>
      <w:r>
        <w:t>IT: GE_GERICHTE ATA/416/2025 del 15 aprile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 ; art. 82 du statut du personnel des SIG du 26 juillet 2012).</w:t>
      </w:r>
    </w:p>
    <w:p>
      <w:r>
        <w:rPr>
          <w:b/>
        </w:rPr>
        <w:t>E. 2</w:t>
      </w:r>
    </w:p>
    <w:p>
      <w:r>
        <w:t>L’objet du litige consiste à déterminer si la décision de la commission déclarant irrecevable le recours formé devant elle contre le courrier du 3 décembre 2024 est fondée.</w:t>
      </w:r>
    </w:p>
    <w:p>
      <w:r>
        <w:rPr>
          <w:b/>
        </w:rPr>
        <w:t>E. 3</w:t>
      </w:r>
    </w:p>
    <w:p>
      <w:r>
        <w:t>Le recourant a sollicité, dans sa réplique, la suspension de la procédure jusqu’à la reddition du rapport d’enquête et la décision finale des SIG.</w:t>
      </w:r>
    </w:p>
    <w:p>
      <w:r>
        <w:rPr>
          <w:b/>
        </w:rPr>
        <w:t>E. 3.1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étant une norme potestative et son texte clair ne prévoyant pas la suspension systématique de la procédure chaque fois qu'une autorité civile, pénale ou administrative est parallèlement saisie (ATA/1099/2023 du 5 octobre 2023 et l'arrêt cité). Selon l’art. 78 let. a LPA, l’instruction du recours est suspendue par la requête simultanée de toutes les parties.</w:t>
      </w:r>
    </w:p>
    <w:p>
      <w:r>
        <w:t>- 7/14 - A/438/2025</w:t>
      </w:r>
    </w:p>
    <w:p>
      <w:r>
        <w:rPr>
          <w:b/>
        </w:rPr>
        <w:t>E. 3.2</w:t>
      </w:r>
    </w:p>
    <w:p>
      <w:r>
        <w:t>En l’espèce, d’une part, il n’existe pas d’accord entre les parties en faveur d’une suspension de l’instruction au sens de l’art. 78 let. a LPA. D’autre part, le sort de la présente procédure ne dépend pas d’une question relevant de la compétence d’une autre autorité, puisqu’elle dépendrait de la décision des SIG, laquelle dépendra des conclusions du rapport d’enquête. L’art. 14 LPA étant potestatif, rien ne justifie de suspendre la procédure, compte tenu en outre des considérants qui suivent.</w:t>
      </w:r>
    </w:p>
    <w:p>
      <w:r>
        <w:rPr>
          <w:b/>
        </w:rPr>
        <w:t>E. 4</w:t>
      </w:r>
    </w:p>
    <w:p>
      <w:r>
        <w:t>Le recourant sollicite la comparution personnelle des parties.</w:t>
      </w:r>
    </w:p>
    <w:p>
      <w:r>
        <w:rPr>
          <w:b/>
        </w:rPr>
        <w:t>E. 4.1</w:t>
      </w:r>
    </w:p>
    <w:p>
      <w:r>
        <w:t>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(art. 41 LPA ; ATF 134 I 140 consid. 5.3 ; 130 II 425 consid. 2.1).</w:t>
      </w:r>
    </w:p>
    <w:p>
      <w:r>
        <w:rPr>
          <w:b/>
        </w:rPr>
        <w:t>E. 4.2</w:t>
      </w:r>
    </w:p>
    <w:p>
      <w:r>
        <w:t>La commission a transmis son dossier à la chambre administrative. Le recourant a pu exposer son point de vue dans son recours et sa réplique et produire toute pièce qu’il estimait utile. Dans la mesure où le litige est circonscrit à la question de l’irrecevabilité du recours dirigé contre la libération de l’obligation de travailler, ni l’audition du recourant ni celle d’un représentant des SIG ne sont de nature à fournir des éléments pertinents pour trancher cette question. Le recourant n’explique au demeurant pas la pertinence de l’audience sollicitée au regard de l’objet, limité, du litige. Il ne sera en conséquence pas donné suite à la demande d’actes d’instruction.</w:t>
      </w:r>
    </w:p>
    <w:p>
      <w:r>
        <w:rPr>
          <w:b/>
        </w:rPr>
        <w:t>E. 5</w:t>
      </w:r>
    </w:p>
    <w:p>
      <w:r>
        <w:t>Le recourant soutient que la composition de la commission de recours ne respecterait pas les exigences constitutionnelles minimales d’impartialité. La présidente de la commission était également vice-présidente du CA, ce qui ne ressortirait pas du site internet des SIG, mais était établi par le registre du commerce notamment. L’intéressée aurait un pouvoir de signature collective à deux, pourrait remplacer le président en son absence, prendre des décisions pour les SIG et se trouverait ainsi « juge et partie » au sein de la commission tout en y ayant une voix prépondérante en sa qualité de présidente. 5.1.1 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 5.1.2 En vertu de l’art. 15 al. 1 let. d LPA, les membres des autorités administratives appelés à rendre ou à préparer une décision doivent se récuser s’il existe des</w:t>
      </w:r>
    </w:p>
    <w:p>
      <w:r>
        <w:t>- 8/14 - A/438/2025 circonstances de nature à faire suspecter leur partialité. La demande de récusation doit être formée sans délai (art. 15 al. 3 LPA). Les art. 15 et 15A LPA sont calqués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de la loi fédérale sur le Tribunal fédéral du 17 juin 2005 (LTF - RS 173.110),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5.1.3 Selon la jurisprudence, le droit à une composition correcte et impartiale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arrêt du Tribunal fédéral 2C_629/2015 du 1er décembre 2015 consid. 3.1 ; ATA/107/2018 du</w:t>
      </w:r>
    </w:p>
    <w:p>
      <w:r>
        <w:rPr>
          <w:b/>
        </w:rPr>
        <w:t>E. 5.2</w:t>
      </w:r>
    </w:p>
    <w:p>
      <w:r>
        <w:t>Les SIG sont dotés de la personnalité juridique et sont autonomes dans les limites fixées par la constitution et par la loi sur l'organisation des Services industriels de Genève du 5 octobre 1973 (LSIG - L 2 35 – art. 2 LSIG). L’administration des SIG est confiée à un CA dont les membres sont nommés à raison de : un membre de chaque parti représenté au Grand Conseil, désigné par ce dernier ; quatre membres par le Conseil d’État ; quatre membres par le Conseil municipal de la Ville de Genève ; un membre choisi en son sein par le Conseil administratif de la Ville de Genève et trois membres par les conseillers municipaux des autres communes, choisis au sein d’exécutifs communaux, dont un par ceux de la rive droite, un par ceux des communes entre Arve et lac et un par ceux des communes entre Arve et Rhône. Leur mode d’élection est déterminé par un règlement du Conseil d’État ; quatre membres faisant partie du personnel des SIG, élus par l’ensemble de ce personnel selon les dispositions prévues par la loi sur l’organisation des institutions de droit public du 22 septembre 2017 (LOIDP - A 2 24 ; art. 6 LSIG). Le CA peut, par règlement, instituer des procédures de réclamation ou de recours à des instances internes. Dans les cas où de telles voies de droit sont ouvertes, le recours à la chambre administrative de la Cour de justice n’est recevable que si elles ont été préalablement épuisées (art. 36A LSIG).</w:t>
      </w:r>
    </w:p>
    <w:p>
      <w:r>
        <w:rPr>
          <w:b/>
        </w:rPr>
        <w:t>E. 5.3</w:t>
      </w:r>
    </w:p>
    <w:p>
      <w:r>
        <w:t>Conformément à l’art. 81 al. 1 du statut, une commission de recours est instituée, composée de cinq membres, soit un président choisi par le conseil d’administration en son sein, deux membres désignés par le conseil</w:t>
      </w:r>
    </w:p>
    <w:p>
      <w:r>
        <w:t>- 10/14 - A/438/2025 d’administration et deux membres désignés par la commission du personnel. Un juriste assure le rôle de secrétaire de la commission et est consulté sur les aspects juridiques traités par la commission. La composition diffère légèrement lorsque le recourant est cadre supérieur (art. 69 al. 2 RAstatut) ou membre de la direction générale (al. 3). Un directeur exécutif ou un cadre ne peut pas siéger pour statuer sur le recours de l’un de ses collaborateurs ; il doit se faire remplacer par le suppléant désigné (art. 69 al. 4 RAstatut).</w:t>
      </w:r>
    </w:p>
    <w:p>
      <w:r>
        <w:rPr>
          <w:b/>
        </w:rPr>
        <w:t>E. 5.4</w:t>
      </w:r>
    </w:p>
    <w:p>
      <w:r>
        <w:t>En l’espèce, il n’est pas contesté que D______ est vice-présidente du CA. La décision querellée mentionne les membres de la commission ayant participé à la décision, à savoir D______ (présidente), E______ (représentant le conseil d’administration), F______ (représentant de la direction générale), G______ et H______ (représentants de la commission du personnel) et I______ (greffier). La composition est en conséquence conforme aux art. 81 al. 1 statut et 69 al. 2 RAstatut. Le recourant conteste l’impartialité de la présidente de la commission de recours, vice-présidente du CA, élue en qualité de représentante du Grand Conseil. Or, titulaire d’une signature collective à deux, elle ne peut pas engager seule les SIG. Aucune disposition légale ou règlementaire n’interdit par ailleurs à cette dernière de siéger dans les deux instances. Au contraire, l’art. 81 al. 1 du statut prévoit expressément que le président de la commission soit choisi par le CA, en son sein. Le courrier initial contre lequel le recourant a interjeté recours devant la commission a été rédigé par la directrice générale et le directeur exécutif « droit, achats et risques ». Le recourant ne conteste pas leurs compétences pour traiter de la question. Le grief de partialité de la vice-présidente du CA ne trouve pas d’assise dans le dossier. La présidente de la commission, également membre et vice-présidente du conseil d’administration des SIG, n’ayant pas participé au courrier de réponse à la question de la prescription, question purement juridique, ne présente ainsi pas de conflit d’intérêts ou de motifs justifiant de se récuser dans le cadre du recours formé contre ce courrier. Le grief est écarté.</w:t>
      </w:r>
    </w:p>
    <w:p>
      <w:r>
        <w:rPr>
          <w:b/>
        </w:rPr>
        <w:t>E. 6</w:t>
      </w:r>
    </w:p>
    <w:p>
      <w:r>
        <w:t>Le recourant conteste l’irrecevabilité de son recours devant la commission. Il soutient que le courrier des SIG du 3 décembre 2024 est une décision, incidente, sujette à recours dans un délai de dix jours et que l’admission du recours et la constatation immédiate de la prescription conduiraient à une décision finale qui permettrait d’éviter la poursuite d’une procédure probatoire longue et coûteuse.</w:t>
      </w:r>
    </w:p>
    <w:p>
      <w:r>
        <w:t>- 11/14 - A/438/2025</w:t>
      </w:r>
    </w:p>
    <w:p>
      <w:r>
        <w:rPr>
          <w:b/>
        </w:rPr>
        <w:t>E. 6.1</w:t>
      </w:r>
    </w:p>
    <w:p>
      <w:r>
        <w:t>Selon l'art. 57 let. c in initio LPA, les décisions incidentes peuvent faire l'objet d'un recours si elles risquent de causer un préjudice irréparable. Selon la même disposition in fine, elles peuvent également faire l'objet d'un tel recours si cela conduisait immédiatement à une solution qui éviterait une procédure probatoire longue et coûteuse. L'art. 57 let. c LPA a la même teneur que l'art. 93 al. 1 let. a et b de la loi fédérale sur le Tribunal fédéral du 17 juin 2005 (LTF - RS 173.110). Le préjudice irréparable visé par l’art. 93 al. 1 let. a et b LTF suppose que le recourant ait un intérêt digne de protection à ce que la décision attaquée soit immédiatement annulée ou modifiée (ATF 138 III 46 consid. 1.2). Un préjudice est irréparable lorsqu'il ne peut être ultérieurement réparé par une décision finale entièrement favorable au recourant. Un intérêt économique ou un intérêt tiré du principe de l'économie de la procédure peut constituer un tel préjudice.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147 III 159 consid. 4.1 ; 142 III 798 consid. 2.2).</w:t>
      </w:r>
    </w:p>
    <w:p>
      <w:r>
        <w:rPr>
          <w:b/>
        </w:rPr>
        <w:t>E. 6.2</w:t>
      </w:r>
    </w:p>
    <w:p>
      <w:r>
        <w:t>La chambre administrative a précisé à plusieurs reprises que l'art. 57 let. c LPA devait être interprété à la lumière de ces principes (ATA/1622/2017 du 19 décembre 2017 consid. 4c ; cette interprétation est critiquée par certains auteurs qui l'estiment trop restrictive : Stéphane GRODECKI/Romain JORDAN, Questions choisies de procédure administrative, SJ 2014 II p. 458 ss).</w:t>
      </w:r>
    </w:p>
    <w:p>
      <w:r>
        <w:rPr>
          <w:b/>
        </w:rPr>
        <w:t>E. 6.3</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 Selon la jurisprudence, la libération de travailler, en tant qu’exécution anticipée, ne constitue pas un préjudice irréparable, la question de savoir si les reproches formulés sont justifiés pouvant, le cas échéant, être traitée dans le cadre d’un recours contre la résiliation des rapports de service (ATA/1169/2022 du 22 novembre 2022 consid. 4). Par ailleurs, l’éventuelle atteinte à sa réputation professionnelle ne constitue pas un préjudice irréparable au sens de l’art. 57 let. c LPA. En effet, à teneur de la jurisprudence constante, s’agissant de l’atteinte à la réputation et à l’avenir professionnel, une décision de libération de l’obligation de travailler n’est en soi pas susceptible de causer un préjudice irréparable puisqu’une décision finale entièrement favorable au recourant permettrait de la réparer (ATA/184/2020 du 18 février 2020 consid. 4 ; ATA/1020/2018 du 2 octobre 2018 consid. 4b).</w:t>
      </w:r>
    </w:p>
    <w:p>
      <w:r>
        <w:t>- 12/14 - A/438/2025</w:t>
      </w:r>
    </w:p>
    <w:p>
      <w:r>
        <w:rPr>
          <w:b/>
        </w:rPr>
        <w:t>E. 6.4</w:t>
      </w:r>
    </w:p>
    <w:p>
      <w:r>
        <w:t>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w:t>
      </w:r>
    </w:p>
    <w:p>
      <w:r>
        <w:rPr>
          <w:b/>
        </w:rPr>
        <w:t>E. 6.5</w:t>
      </w:r>
    </w:p>
    <w:p>
      <w:r>
        <w:t>En l’espèce, le recourant revendique l’application de l’art. 57 let. c LPA. Or, dans le cadre de son autre recours, déposé le même jour, opposant les mêmes parties, tranché ce jour par la chambre de céans, le recourant a soutenu une argumentation opposée, plaidant que les statuts des SIG ne prévoyaient pas de décisions incidentes et que la LPA ne trouvait pas application.</w:t>
      </w:r>
    </w:p>
    <w:p>
      <w:r>
        <w:rPr>
          <w:b/>
        </w:rPr>
        <w:t>E. 6.6</w:t>
      </w:r>
    </w:p>
    <w:p>
      <w:r>
        <w:t>Outre que cette attitude apparaît critiquable, la chambre de céans retiendra, comme dans l’arrêt de la cause parallèle, que l’art. 57c LPA s’applique. L’art. 76 al. 2 statut précise que la procédure de décision est régie par la LPA, en particulier en ce qui concerne la notification, la motivation des décisions et la mention des voie et délai de recours. En conséquence la LPA trouve application. Le fait que la condition du préjudice irréparable prévu à l’art. 57 LPA ne soit pas mentionnée est sans incidence puisque l’art. 76 al. 2 précité ne fait qu’une énumération exemplative des questions que la LPA règle. Le fait que le délai de recours, même contre une décision incidente, soit de 30 jours, contrairement à ce que prévoit la LPA, est expressément prévu par les statuts (art. 81 al. 4 statut et 70 al. 2 RAstatut). Dans ces conditions, les recours dirigés contre une décision incidente de l’entreprise, formés devant la commission, sont soumis à l’art. 76 al. 2 statut, et par voie de conséquence à l’art. 57 LPA et donc à la condition de l’existence d’un préjudice irréparable. La question de savoir si le courrier litigieux est une décision peut souffrir de rester indécise compte tenu de ce qui suit. Le recourant ne se prévaut pas d’un préjudice irréparable mais allègue qu’une décision immédiate sur la question de la prescription permettrait d’éviter une procédure probatoire longue et coûteuse. En l’état toutefois, les faits ne sont pas établis. L’intéressé soutient d’ailleurs que de nombreux témoins, actes d’instruction et plusieurs journées d’audience seraient nécessaires pour établir les faits. Dans ces conditions, la chambre de céans ne peut se satisfaire des allégués de l’intéressé selon lesquels la totalité des faits pertinents se seraient déroulés entre le 16 septembre 2021 et le 9 mars 2022 pour analyser la question de la prescription. La seule lecture du mandat d’enquête ne permet pas, contrairement à ce que soutient le recourant, de considérer que les faits se seraient tous déroulés avant le 9 mars 2022. Il ressort du courrier du 7 juillet 2022 du mandataire du recourant qu’il y aurait eu un échange le 29 mars 2022 qui aurait impliqué son mandant et dont la teneur n’est pas établie. Il est, par la suite, reproché aux SIG leur inaction jusqu’au</w:t>
      </w:r>
    </w:p>
    <w:p>
      <w:r>
        <w:t>- 13/14 - A/438/2025 14 juin 2022. Les questions factuelles en lien avec l’incapacité de travail du recourant, la durée de celle-ci, ses éventuelles causes, sont des éléments qui peuvent être pertinents, ce dernier invoquant l’existence d’un mobbing à son encontre, tout comme les motifs des échecs pour trouver un nouveau poste en janvier 2023. À bon droit, les SIG ont relevé que la décision d’ouverture de l’enquête administrative était définitive et exécutoire et ne pouvait être remise en cause. Comme l’a relevé le recourant, les statuts ne précisent pas de délai de prescription. L’intéressé mentionne plusieurs arrêts de la chambre de céans dans une hypothèse identique. Or, en l’état, en l’absence de décision de l’employeur et de l’établissement des faits pertinents la fondant, la chambre administrative n’est pas en mesure d’appliquer le droit. On ignore si une décision sera prise à l’encontre de l’intéressé, quel en sera le contenu, si elle lui sera entièrement favorable ou si, au contraire, elle devait tendre à ce qu’il soit mis fin aux rapports de travail, voire prononce une sanction disciplinaire. Dans ces conditions, l’admission du recours ne peut conduire immédiatement à une décision finale qui permettrait d’éviter une procédure probatoire longue et coûteuse. Au vu de ce qui précède, la commission n’a ni violé la loi ni abusé de son pouvoir d’appréciation en retenant que la décision sur la question de la prescription qui pourrait être rendue ne permettrait pas d’éviter une procédure probatoire longue et coûteuse et qu’ainsi, le recours formé devant elle était irrecevable. Mal fondé, le recours sera donc rejeté.</w:t>
      </w:r>
    </w:p>
    <w:p>
      <w:r>
        <w:rPr>
          <w:b/>
        </w:rPr>
        <w:t>E. 7</w:t>
      </w:r>
    </w:p>
    <w:p>
      <w:r>
        <w:t>Vu l’issue du litige, le recourant supportera un émolument de CHF 800.- et ne peut se voir allouer une indemnité de procédure (art. 87 LPA). Le litige ne présente pas de valeur litigieuse au sens de l’art. 85 al. 1 let. b de la loi fédérale sur le Tribunal fédéral du 17 juin 2005 (LTF - RS 173.110) et porte sur une question incidente au sens de l’art. 93 LTF.</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