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ATA/415/2016 vom 24. Mai 2016</w:t>
      </w:r>
    </w:p>
    <w:p>
      <w:r>
        <w:t>GE Cour de justice, 2016-05-24, FR</w:t>
      </w:r>
    </w:p>
    <w:p>
      <w:r>
        <w:rPr>
          <w:b/>
        </w:rPr>
        <w:t xml:space="preserve">Quelle: </w:t>
      </w:r>
      <w:r>
        <w:t>https://mcp.opencaselaw.ch/entscheid/ge_gerichte_ATA_415_2016</w:t>
      </w:r>
    </w:p>
    <w:p>
      <w:r>
        <w:t>FR: GE_GERICHTE ATA/415/2016 du 24 mai 2016</w:t>
      </w:r>
    </w:p>
    <w:p>
      <w:r>
        <w:t>IT: GE_GERICHTE ATA/415/2016 del 24 maggio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En l’espèce, ce délai d’ordre n’a pas été respecté du fait des aléas de la procédure, soit le prononcé d’un nouveau jugement du TAPI, l’exécution du renvoi et le temps nécessaire au conseil du recourant pour transmettre sa position. Ce retard ne porte toutefois pas à conséquence, dans la mesure où la détention administrative du recourant a pris fin avant l’échéance du délai d’ordre précité (ATA/305/2015 du 27 mars 2015).</w:t>
      </w:r>
    </w:p>
    <w:p>
      <w:r>
        <w:t>La chambre administrative est en outre compétente pour apprécier l'opportunité des décisions portées devant elle (art. 10 al. 2 2ème phr. LaLEtr).</w:t>
      </w:r>
    </w:p>
    <w:p>
      <w:r>
        <w:rPr>
          <w:b/>
        </w:rPr>
        <w:t>E. 3</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- 4/5 - A/1252/2016</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w:t>
      </w:r>
    </w:p>
    <w:p>
      <w:r>
        <w:rPr>
          <w:b/>
        </w:rPr>
        <w:t>E. 4</w:t>
      </w:r>
    </w:p>
    <w:p>
      <w:r>
        <w:t>En l’espèce, le recourant fonde uniquement son recours sur le principe de la proportionnalité. Il n’allègue d’aucune manière de grief fondé sur la CEDH.</w:t>
      </w:r>
    </w:p>
    <w:p>
      <w:r>
        <w:t>Partant, son recours doit être déclaré irrecevable, faute d’intérêt pour recourir.</w:t>
      </w:r>
    </w:p>
    <w:p>
      <w:r>
        <w:rPr>
          <w:b/>
        </w:rPr>
        <w:t>E. 5</w:t>
      </w:r>
    </w:p>
    <w:p>
      <w:r>
        <w:t>Vu la nature du litige, il ne sera pas perçu d’émolument (art. 12 du règlement sur les frais, émoluments et indemnités en procédure administrative du 30 juillet 1986 – RFPA – E 5 10.03). Aucune indemnité de procédure ne sera allouée au recourant, qui succombe (art. 87 al. 2 LPA).</w:t>
      </w:r>
    </w:p>
    <w:p>
      <w:r>
        <w:t>* * * * *</w:t>
      </w:r>
    </w:p>
    <w:p>
      <w:r>
        <w:t>- 5/5 - A/1252/2016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