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ATA/414/2010 vom 15. Juni 2010</w:t>
      </w:r>
    </w:p>
    <w:p>
      <w:r>
        <w:t>GE Cour de justice, 2010-06-15, FR</w:t>
      </w:r>
    </w:p>
    <w:p>
      <w:r>
        <w:rPr>
          <w:b/>
        </w:rPr>
        <w:t xml:space="preserve">Quelle: </w:t>
      </w:r>
      <w:r>
        <w:t>https://mcp.opencaselaw.ch/entscheid/ge_gerichte_ATA_414_2010</w:t>
      </w:r>
    </w:p>
    <w:p>
      <w:r>
        <w:t>FR: GE_GERICHTE ATA/414/2010 du 15 juin 2010</w:t>
      </w:r>
    </w:p>
    <w:p>
      <w:r>
        <w:t>IT: GE_GERICHTE ATA/414/2010 del 15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litige porte exclusivement sur le dies a quo du droit aux prestations d’assistance.</w:t>
      </w:r>
    </w:p>
    <w:p>
      <w:r>
        <w:t>Dans l’ATA/280/2010, le tribunal de céans a considéré que la date de référence du droit aux prestations d’assistance était celle du dépôt de la requête lorsque celle-ci était adressée sur le formulaire préimprimé unique du service, ce document ne contenant aucune rubrique spécifique à l’une ou l’autre catégorie des prestations sollicitées (PCF, PCC et assistance).</w:t>
      </w:r>
    </w:p>
    <w:p>
      <w:r>
        <w:t>En l’espèce, le recourant a rempli pour la première fois le formulaire le 16 juillet 2008. Le service a retenu que cette demande ne concernait que les seules PCF et PCC, tout en admettant que le libellé du formulaire pouvait prêter à confusion.</w:t>
      </w:r>
    </w:p>
    <w:p>
      <w:r>
        <w:t>Cette situation étant identique à celle visée dans l’ATA/280/2010, il y a lieu de lui donner une même solution. Le recours sera donc admis et la cause retournée au service pour qu’il rende une nouvelle décision conforme à la jurisprudence énoncée dans l’arrêt précité.</w:t>
      </w:r>
    </w:p>
    <w:p>
      <w:r>
        <w:rPr>
          <w:b/>
        </w:rPr>
        <w:t>E. 3</w:t>
      </w:r>
    </w:p>
    <w:p>
      <w:r>
        <w:t>Vu cette issue et pour tenir compte des circonstances du cas d’espèce, il ne sera pas perçu d’émolument. Une indemnité de CHF 500.- sera allouée au recourant, à la charge de l’Etat de Genève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