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ATA/414/2005 vom 17. April 2003</w:t>
      </w:r>
    </w:p>
    <w:p>
      <w:r>
        <w:t>GE Cour de justice, 2003-04-17, FR</w:t>
      </w:r>
    </w:p>
    <w:p>
      <w:r>
        <w:rPr>
          <w:b/>
        </w:rPr>
        <w:t xml:space="preserve">Quelle: </w:t>
      </w:r>
      <w:r>
        <w:t>https://mcp.opencaselaw.ch/entscheid/ge_gerichte_ATA_414_2005</w:t>
      </w:r>
    </w:p>
    <w:p>
      <w:r>
        <w:t>FR: GE_GERICHTE ATA/414/2005 du 17 avril 2003</w:t>
      </w:r>
    </w:p>
    <w:p>
      <w:r>
        <w:t>IT: GE_GERICHTE ATA/414/2005 del 17 aprile 2003</w:t>
      </w:r>
    </w:p>
    <w:p>
      <w:pPr>
        <w:pStyle w:val="Heading2"/>
      </w:pPr>
      <w:r>
        <w:t>Erwägungen</w:t>
      </w:r>
    </w:p>
    <w:p>
      <w:r>
        <w:rPr>
          <w:b/>
        </w:rPr>
        <w:t>E. 1</w:t>
      </w:r>
    </w:p>
    <w:p>
      <w:r>
        <w:t>La question de la recevabilité du recours n’est plus litigieuse, depuis l’arrêt du tribunal de céans, daté du 12 novembre 2002 et celui de renvoi rendu par le Tribunal fédéral le 17 avril 2003.</w:t>
      </w:r>
    </w:p>
    <w:p>
      <w:r>
        <w:rPr>
          <w:b/>
        </w:rPr>
        <w:t>E. 2</w:t>
      </w:r>
    </w:p>
    <w:p>
      <w:r>
        <w:t>Dans la décision précitée, le Tribunal fédéral a considéré qu’il appartenait au Tribunal administratif soit d’infliger au recourant une sanction analogue à celle prononcée à l’égard d’une des autres personnes ayant participé à la séquestration, soit de confirmer le retrait de la carte professionnelle de chauffeur de taxis, pour</w:t>
      </w:r>
    </w:p>
    <w:p>
      <w:r>
        <w:t>- 4/5 - A/753/2003 d’autres motifs que ceux invoqués dans l’arrêt attaqué et en expliquant ce qui motivait objectivement une telle différence de traitement.</w:t>
      </w:r>
    </w:p>
    <w:p>
      <w:r>
        <w:rPr>
          <w:b/>
        </w:rPr>
        <w:t>E. 3</w:t>
      </w:r>
    </w:p>
    <w:p>
      <w:r>
        <w:t>La mise en œuvre de l’arrêt de renvoi rendu par le Tribunal fédéral se heurte toutefois à une circonstance dirimante, l’écoulement du temps.</w:t>
      </w:r>
    </w:p>
    <w:p>
      <w:r>
        <w:t>a. Par application analogique de l’article 337 alinéa 2 du Code pénal suisse du 21 décembre 1937 (CP - RS 311.0), une violation des règles pertinentes de droit administratif, comme en l’espèce la loi sur les services de taxis du 26 mars 1999 (LTaxis - H 1 30), se prescrit selon les règles les plus favorables au contrevenant (ATF 77 IV 206 consid. 1 p. 207). Il convient dès lors, de s’en tenir à l’article 17 de la loi pénale genevoise du 20 septembre 1941 (LPG – E 4 05), qui n’a pas changé depuis son entrée en vigueur le 1er janvier 1942 et à l’ancienne teneur de l’article 109 CP dans sa version en vigueur jusqu’au 30 septembre 2002 selon laquelle le délai de poursuites des contraventions était d’un an, celui d’exécution de la peine de deux ans, le jour de l’infraction étant compté (ATF précité, consid. 2 p. 209).</w:t>
      </w:r>
    </w:p>
    <w:p>
      <w:r>
        <w:t>b. Selon l’ancien article 109 CP, l’action pénale se prescrivait ainsi par un an et celle d’exécution de la peine par un an également en application de l’article 17 LPG, comme l’avait retenu le Tribunal fédéral dans un arrêt rendu en 1991 (ATF B. du 26 février 1991). Ces délais étaient certes susceptibles de suspension et d’interruption au sens de l’ancien article 72 chiffre 2 alinéa 2 in fine CP, selon lequel l’action pénale en matière de contraventions se prescrivait au plus tard à l’expiration d’un délai du double de la durée normale.</w:t>
      </w:r>
    </w:p>
    <w:p>
      <w:r>
        <w:t>En l’espèce, comme l’avait déjà retenu le tribunal de céans dans son arrêt du 12 novembre 2002, les faits reprochés au recourant se sont déroulés le 1er septembre 2001. Compte tenu des nombreux actes interruptifs de prescription, il convient de retenir la date la plus éloignée de celle-ci comme celle d’extinction de l’action pénale. Il faut donc considérer que l’autorité administrative pouvait sanctionner le recourant au plus tard jusqu’au 31 août 2003 à 24 heures. Or, à cette date-là, la procédure pénale à l’encontre du recourant n’était pas terminée et il n’était pas possible de savoir quels faits seraient retenus définitivement à sa charge, voire s’il serait acquitté.</w:t>
      </w:r>
    </w:p>
    <w:p>
      <w:r>
        <w:t>Du fait de la prescription, il n’y a donc pas lieu de sanctionner le recourant en application de la Ltaxis.</w:t>
      </w:r>
    </w:p>
    <w:p>
      <w:r>
        <w:rPr>
          <w:b/>
        </w:rPr>
        <w:t>E. 4</w:t>
      </w:r>
    </w:p>
    <w:p>
      <w:r>
        <w:t>Comme le tribunal de céans l’a déjà relevé à de très nombreuses reprises (cf. not. l’ATA concernant le recourant, daté du 12 novembre 2002, p. 12, consid. 6b ; ATA/42/2002 du 15 janvier 2002) il appartient au législateur d’améliorer le texte légal, de manière à ce que la Ltaxis contienne des délais particuliers de prescription, comme cela est déjà le cas en matière de constructions, l’article 137 alinéa 6 de la loi sur les constructions et les installations diverses du 14 avril 1988</w:t>
      </w:r>
    </w:p>
    <w:p>
      <w:r>
        <w:t>- 5/5 - A/753/2003 (LCI - L 5 05) prévoyant une prescription triennale pour la poursuite des infractions et une prescription absolue quinquennale.</w:t>
      </w:r>
    </w:p>
    <w:p>
      <w:r>
        <w:rPr>
          <w:b/>
        </w:rPr>
        <w:t>E. 5</w:t>
      </w:r>
    </w:p>
    <w:p>
      <w:r>
        <w:t>Le recours doit dès lors être admis. Son auteur, qui obtient gain de cause, pour des motifs totalement étrangers à l’argumentation qu’il a soutenue, n’a pas droit à une indemnité de procédure. Il ne sera en revanche pas condamné aux frais de celle-ci.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