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ATA/413/2017 vom 11. April 2017</w:t>
      </w:r>
    </w:p>
    <w:p>
      <w:r>
        <w:t>GE Cour de justice, 2017-04-11, FR</w:t>
      </w:r>
    </w:p>
    <w:p>
      <w:r>
        <w:rPr>
          <w:b/>
        </w:rPr>
        <w:t xml:space="preserve">Quelle: </w:t>
      </w:r>
      <w:r>
        <w:t>https://mcp.opencaselaw.ch/entscheid/ge_gerichte_ATA_413_2017</w:t>
      </w:r>
    </w:p>
    <w:p>
      <w:r>
        <w:t>FR: GE_GERICHTE ATA/413/2017 du 11 avril 2017</w:t>
      </w:r>
    </w:p>
    <w:p>
      <w:r>
        <w:t>IT: GE_GERICHTE ATA/413/2017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vente à l’emporter de boissons alcooliques est régie par la LVEBA.</w:t>
      </w:r>
    </w:p>
    <w:p>
      <w:r>
        <w:rPr>
          <w:b/>
        </w:rPr>
        <w:t>E. 3</w:t>
      </w:r>
    </w:p>
    <w:p>
      <w:r>
        <w:t>a. La vente à l’emporter de boissons alcooliques dans des commerces est soumise à l’obtention préalable d’une autorisation délivrée par le département de la sécurité et de l’économie (ci-après : le département) (art. 5 al. 1 LVEBA).</w:t>
      </w:r>
    </w:p>
    <w:p>
      <w:r>
        <w:t>b. L'autorisation, strictement personnelle et intransmissible, ne peut être accordée qu'à une personne physique, soit pour son propre compte, soit pour le compte d'une société commerciale ou d'une personne morale qu'elle a, en fait et en</w:t>
      </w:r>
    </w:p>
    <w:p>
      <w:r>
        <w:t>- 5/7 - A/3631/2016 droit, le pouvoir de diriger, d'engager et de représenter. Elle est délivrée pour un établissement et des locaux déterminés (art. 8 al.1 LVEBA).</w:t>
      </w:r>
    </w:p>
    <w:p>
      <w:r>
        <w:rPr>
          <w:b/>
        </w:rPr>
        <w:t>E. 4</w:t>
      </w:r>
    </w:p>
    <w:p>
      <w:r>
        <w:t>a. La vente de boissons alcooliques à l’emporter est interdite de 21h00 à 7h00, indépendamment des dispositions de la LHOM (art. 11 al. 1 LVEBA), sauf dans les établissements autorisés au sens de la loi sur la restauration, le débit de boissons, l’hébergement et le divertissement du 19 mars 2015 (LRDBHD - I 2 22).</w:t>
      </w:r>
    </w:p>
    <w:p>
      <w:r>
        <w:t>b. Durant l'interdiction visée à l'art. 11 al. 1 LVEBA, les boissons alcooliques sont mises sous clé et soustraites à la vue du public, ces mesures ne s'appliquant pas aux entreprises autorisées au sens de la LRDBHD (art. 5 al. 2 LVEBA).</w:t>
      </w:r>
    </w:p>
    <w:p>
      <w:r>
        <w:rPr>
          <w:b/>
        </w:rPr>
        <w:t>E. 5</w:t>
      </w:r>
    </w:p>
    <w:p>
      <w:r>
        <w:t>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w:t>
      </w:r>
    </w:p>
    <w:p>
      <w:r>
        <w:rPr>
          <w:b/>
        </w:rPr>
        <w:t>E. 6</w:t>
      </w:r>
    </w:p>
    <w:p>
      <w:r>
        <w:t>Le recourant soutient que les faits retenus dans la décision attaquée ont été établis de manière inexacte.</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(ATA/991/2016 précité consid. 3b et les arrêts cités).</w:t>
      </w:r>
    </w:p>
    <w:p>
      <w:r>
        <w:t>- 6/7 - A/3631/2016</w:t>
      </w:r>
    </w:p>
    <w:p>
      <w:r>
        <w:t>c. De jurisprudence constante, la chambre de céans accorde généralement une pleine valeur probante aux constatations figurant dans un rapport de police, établi par des agents assermentés (ATA/240/2017 du 28 février 2017 ; ATA/991/2016 consid. 3c et les arrêts cités), sauf si des éléments permettent de s’en écarter.</w:t>
      </w:r>
    </w:p>
    <w:p>
      <w:r>
        <w:rPr>
          <w:b/>
        </w:rPr>
        <w:t>E. 7</w:t>
      </w:r>
    </w:p>
    <w:p>
      <w:r>
        <w:t>En l’occurrence, les faits à l’origine de la mesure administrative contestée ont été constatés à chaque fois par des gendarmes, soit par des agents de l’État assermentés. La chambre administrative les retiendra comme établis, le recourant ne fournissant aucun élément qui conduirait à remettre en question leur réalité. Ils ont en outre été établis par des gendarmes différents, ce qui rend vaine l’allégation du recourant d’une vindicte particulière d’un inspecteur qui chercherait à le mettre sous pression. Ses explications relatives à l’impossibilité de stocker et de mettre sous clé les boissons alcoolisées compte tenu de la faible surface du kiosque ne peuvent être prises en compte. En effet, si la loi donne la possibilité de vendre de l’alcool à l’emporter, il incombe au bénéficiaire de l’autorisation d’y procéder en organisant son lieu de vente de façon à pouvoir la respecter, à défaut de quoi, il doit y renoncer.</w:t>
      </w:r>
    </w:p>
    <w:p>
      <w:r>
        <w:t>Le 26 juillet 2016, le recourant a laissé un employé vendre de l’alcool hors des délais légaux en violant ainsi l’art. 11 al. 1 LVEBA, en tant que titulaire de l’autorisation auquel incombe la responsabilité d’exploiter son commerce suivant les règles. Le 4 août 2016, il a commis lui-même directement la même infraction. Aux mêmes dates, il a également violé l’art. 11 al. 2 LVEBA en ne prenant pas les mesures conduisant à ce qu’après 21h00 les boissons alcoolisées soient soustraites à la vue du public et mises sous clé ainsi que la loi le demande. Le PCTN était ainsi en droit de le sanctionner en application de l’art. 14 LVEBA.</w:t>
      </w:r>
    </w:p>
    <w:p>
      <w:r>
        <w:rPr>
          <w:b/>
        </w:rPr>
        <w:t>E. 8</w:t>
      </w:r>
    </w:p>
    <w:p>
      <w:r>
        <w:t>Le recourant ayant déjà fait l’objet d’une mesure de fermeture d’une semaine pour des faits similaires moins d’une année auparavant, s’agissant de la vente d’alcool, le prononcé d’une mesure de fermeture de deux semaines est adéquat et proportionné pour sanctionner son incapacité à respecter la législation sur les ventes de boissons alcoolisées.</w:t>
      </w:r>
    </w:p>
    <w:p>
      <w:r>
        <w:t>Le recours sera rejeté.</w:t>
      </w:r>
    </w:p>
    <w:p>
      <w:r>
        <w:rPr>
          <w:b/>
        </w:rPr>
        <w:t>E. 9</w:t>
      </w:r>
    </w:p>
    <w:p>
      <w:r>
        <w:t>Vu l’issue de la procédure, un émolument de CHF 500.- sera mis à la charge du recourant (art. 87 al. 1 LPA). Aucune indemnité de procédure ne lui sera allouée (art. 87 al. 2 LPA).</w:t>
      </w:r>
    </w:p>
    <w:p>
      <w:r>
        <w:t>* * * * *</w:t>
      </w:r>
    </w:p>
    <w:p>
      <w:r>
        <w:t>- 7/7 - A/3631/2016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