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ATA/412/2022 vom 13. April 2022</w:t>
      </w:r>
    </w:p>
    <w:p>
      <w:r>
        <w:t>GE Cour de justice, 2022-04-13, FR</w:t>
      </w:r>
    </w:p>
    <w:p>
      <w:r>
        <w:rPr>
          <w:b/>
        </w:rPr>
        <w:t xml:space="preserve">Quelle: </w:t>
      </w:r>
      <w:r>
        <w:t>https://mcp.opencaselaw.ch/entscheid/ge_gerichte_ATA_412_2022</w:t>
      </w:r>
    </w:p>
    <w:p>
      <w:r>
        <w:t>FR: GE_GERICHTE ATA/412/2022 du 13 avril 2022</w:t>
      </w:r>
    </w:p>
    <w:p>
      <w:r>
        <w:t>IT: GE_GERICHTE ATA/412/2022 del 13 aprile 2022</w:t>
      </w:r>
    </w:p>
    <w:p>
      <w:pPr>
        <w:pStyle w:val="Heading2"/>
      </w:pPr>
      <w:r>
        <w:t>Erwägungen</w:t>
      </w:r>
    </w:p>
    <w:p>
      <w:r>
        <w:rPr>
          <w:b/>
        </w:rPr>
        <w:t>E. 12</w:t>
      </w:r>
    </w:p>
    <w:p>
      <w:r>
        <w:t>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(ATA/284/2020 du 10 mars 2020 consid. 2a et la référence citée).</w:t>
      </w:r>
    </w:p>
    <w:p>
      <w:r>
        <w:t>b. En l'espèce, le recourant n'a pas pris de conclusions formelles en annulation de la sanction disciplinaire à laquelle il a été condamné. L'on comprend toutefois de son recours qu'il la conteste, car elle serait injustifiée, et conclut implicitement à son annulation, de sorte que le recours est recevable. 3)</w:t>
      </w:r>
    </w:p>
    <w:p>
      <w:r>
        <w:t>Le recourant sollicite son audition, « si possible ».</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w:t>
      </w:r>
    </w:p>
    <w:p>
      <w:r>
        <w:t>- 5/9 - A/464/2022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été entendu par la prison, a pu présenter sa version des faits dans son recours et n’a pas usé de la faculté de répliquer qui lui avait été donnée. Son audition n'est pas de nature à modifier l'issue du litige, de sorte qu'il ne sera pas fait droit à sa demande. 4) a. Le droit disciplinaire est un ensemble de sanctions dont l'autorité dispose à l'égard d'une collectivité déterminée de personnes, soumises à un statut spécial ou qui, tenues par un régime particulier d'obligations, font l'objet d'une surveillance spéciale. Il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(ATA/43/2019 du 15 janvier 2019 ; ATA/1108/2018 du 17 octobre 2018 et les références citées).</w:t>
      </w:r>
    </w:p>
    <w:p>
      <w:r>
        <w:t>b. Les personnes détenues ont l'obligation de respecter les dispositions du REPSD, les instructions du directeur général de l'office cantonal de la détention (ci-après : OCD), ainsi que les ordres du directeur de l'établissement et du personnel pénitentiaire (art. 42 REPSD).</w:t>
      </w:r>
    </w:p>
    <w:p>
      <w:r>
        <w:t>Les personnes condamnées sont astreintes au travail, conformément à l'art. 81 du Code pénal suisse du 21 décembre 1937 (CP - RS 311.0 ; art. 35 al. 1 REPSD).</w:t>
      </w:r>
    </w:p>
    <w:p>
      <w:r>
        <w:t>La personne détenue doit observer une attitude correcte à l'égard du personnel, des autres personnes détenues et des tiers (art. 43 REPSD). Il est notamment interdit de troubler l'ordre ou la tranquillité dans l'établissement ou les environs immédiats (art. 44 let. i REPSD), et d'une façon générale, d'adopter un comportement contraire au but de l'établissement (art. 44 let. j REPSD).</w:t>
      </w:r>
    </w:p>
    <w:p>
      <w:r>
        <w:t>c. Aux termes de l'art. 46 REPSD, si une personne détenue enfreint le REPSD ou contrevient au plan d'exécution de la sanction pénale, une sanction</w:t>
      </w:r>
    </w:p>
    <w:p>
      <w:r>
        <w:t>- 6/9 - A/464/2022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À teneur de l'art. 46 al. 7 REPSD, le directeur de l'établissement peut déléguer la compétence de prononcer ces sanctions prévues à d'autres membres du personnel gradé de l'établissement. Les modalités de la délégation sont prévues dans un ordre de service.</w:t>
      </w:r>
    </w:p>
    <w:p>
      <w:r>
        <w:t>d. De jurisprudence constante, la chambre de céans accorde généralement valeur probante aux constatations figurant dans un rapport de police, établi par des agents assermentés sauf si des éléments permettent de s'en écarter (ATA/1339/2018 du 11 décembre 2018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(ATA/36/2019 du 15 janvier 2019 ; ATA/1242/2018 du 20 novembre 2018).</w:t>
      </w:r>
    </w:p>
    <w:p>
      <w:r>
        <w:t>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5) a. En l’espèce, le recourant ne conteste pas avoir voulu se rendre à l'atelier buanderie avec du tabac placé dans un contenant non transparent. Il prétend avoir ignoré que c'était interdit et conteste avoir refusé de travailler. Il avait simplement demandé à pouvoir ramener son tabac en cellule pour, selon les termes de son recours, « changer de récipient ».</w:t>
      </w:r>
    </w:p>
    <w:p>
      <w:r>
        <w:t>- 7/9 - A/464/2022</w:t>
      </w:r>
    </w:p>
    <w:p>
      <w:r>
        <w:t>Le recourant est détenu depuis le 17 novembre 2021 à B______ et était affecté depuis le 25 novembre 2021 à l'atelier « C______ ». Il travaille depuis le 31 janvier 2022 à l'atelier buanderie. Il ne contredit pas l'établissement de détention qui explique que la liste des effets admis dans les ateliers est affichée en divers endroits de la prison, dont dans les couloirs menant aux ateliers qu'il empruntait depuis plus d'une année au jour de la sanction querellée. Il ne prétend pas ne pas parler le français, langue dans laquelle il a au demeurant écrit son recours, et partant ne pas avoir été en mesure de comprendre les termes de ladite liste, contenant sept types d'objets pouvant être emmenés dans les ateliers, dont du tabac contenu dans un sachet plastique transparent. Il ne prétend pas qu'il se soit agi en l'espèce d'un paquet de cigarettes, autorisé selon le même point de ladite liste.</w:t>
      </w:r>
    </w:p>
    <w:p>
      <w:r>
        <w:t>Dans ces conditions, l'introduction de tabac dans un contenant non transparent n'était pas autorisée et c'est à bon droit que le surveillant l'a refusée au recourant. Même à considérer que celui-ci aurait éventuellement bénéficié de la mansuétude du gardien en charge du contrôle avant le jour de la sanction, il ne peut en déduire aucun droit compte tenu des règles claires de l’établissement.</w:t>
      </w:r>
    </w:p>
    <w:p>
      <w:r>
        <w:t>L'agent de détention, assermenté, a par deux fois mentionné que le recourant avait refusé de travailler après qu'il lui avait dit que son tabac serait ramené dans sa cellule. Il n'existe aucun élément au dossier qui permet de douter de cette version des faits, laquelle correspond au demeurant partiellement à celle du recourant qui admet avoir voulu retourner en cellule pour « changer de récipient ».</w:t>
      </w:r>
    </w:p>
    <w:p>
      <w:r>
        <w:t>Compte tenu de ce qui précède, le recourant a commis une faute en refusant de travailler. Le principe de la sanction est en conséquence fondé.</w:t>
      </w:r>
    </w:p>
    <w:p>
      <w:r>
        <w:t>b. S'agissant de la nature et de la quotité de la sanction, l'autorité dispose d'un large pouvoir d'appréciation, que la chambre de céans ne revoit que sous l’angle restreint de l'excès ou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t>En choisissant de supprimer les formations, sports, loisirs et repas en commun pour sept journées, l’autorité intimée n’a pas violé son pouvoir d’appréciation, ce d’autant que la promenade et les téléphones restaient autorisés et que le recourant fait l'objet de deux antécédents spécifiques, les 20 décembre 2021 et 27 janvier 2022, qui ne l'ont manifestement pas amené à changer de comportement.</w:t>
      </w:r>
    </w:p>
    <w:p>
      <w:r>
        <w:t>- 8/9 - A/464/2022</w:t>
      </w:r>
    </w:p>
    <w:p>
      <w:r>
        <w:t>La sanction prononcée est ainsi proportionnée, répond à l’intérêt public au respect de l’ordre et de la sécurité au sein de l’établissement pénitentiaire et repose sur une base réglementaire, l’art. 46 al. 3 let. b REPSD.</w:t>
      </w:r>
    </w:p>
    <w:p>
      <w:r>
        <w:t>Mal fondé, le recours sera rejeté. 6)</w:t>
      </w:r>
    </w:p>
    <w:p>
      <w:r>
        <w:t>La procédure est gratuite (art. 12 du règlement sur les frais, émoluments et indemnités en procédure administrative du 30 juillet 1986 - RFPA - E 5 10.03). Vu l’issue du litige,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