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ATA/411/2016 vom 19. Mai 2016</w:t>
      </w:r>
    </w:p>
    <w:p>
      <w:r>
        <w:t>GE Cour de justice, 2016-05-19, FR</w:t>
      </w:r>
    </w:p>
    <w:p>
      <w:r>
        <w:rPr>
          <w:b/>
        </w:rPr>
        <w:t xml:space="preserve">Quelle: </w:t>
      </w:r>
      <w:r>
        <w:t>https://mcp.opencaselaw.ch/entscheid/ge_gerichte_ATA_411_2016</w:t>
      </w:r>
    </w:p>
    <w:p>
      <w:r>
        <w:t>FR: GE_GERICHTE ATA/411/2016 du 19 mai 2016</w:t>
      </w:r>
    </w:p>
    <w:p>
      <w:r>
        <w:t>IT: GE_GERICHTE ATA/411/2016 del 19 maggio 2016</w:t>
      </w:r>
    </w:p>
    <w:p>
      <w:pPr>
        <w:pStyle w:val="Heading2"/>
      </w:pPr>
      <w:r>
        <w:t>Erwägungen</w:t>
      </w:r>
    </w:p>
    <w:p>
      <w:r>
        <w:rPr>
          <w:b/>
        </w:rPr>
        <w:t>E. 1</w:t>
      </w:r>
    </w:p>
    <w:p>
      <w:r>
        <w:t>Interjeté en temps utile devant la juridiction compétente, le recours est recevable (art. 10 al. 1 de la loi d'application de la loi fédérale sur les étrangers du 16 juin 1988 - LaLEtr - F 2 10 ; art. 132 de la loi sur l'organisation judiciaire du</w:t>
      </w:r>
    </w:p>
    <w:p>
      <w:r>
        <w:t>- 5/9 - A/1122/2016 26 septembre 2010 - LOJ - E 2 05 ; art. 62 al. 1 let. a de la loi sur la procédure administrative du 12 septembre 1985 - LPA - E 5 10).</w:t>
      </w:r>
    </w:p>
    <w:p>
      <w:r>
        <w:rPr>
          <w:b/>
        </w:rPr>
        <w:t>E. 2</w:t>
      </w:r>
    </w:p>
    <w:p>
      <w:r>
        <w:t>Selon l’art. 10 al. 2 1ère phr. LaLEtr, la chambre administrative doit statuer dans les dix jours qui suivent sa saisine. Ayant reçu le recours le 10 mai 2016 et statuant ce jour, elle respecte ce délai.</w:t>
      </w:r>
    </w:p>
    <w:p>
      <w:r>
        <w:t>La chambre administrative est en outre compétente pour apprécier l'opportunité des décisions portées devant elle (art. 10 al. 2 2ème phr. LaLEtr).</w:t>
      </w:r>
    </w:p>
    <w:p>
      <w:r>
        <w:rPr>
          <w:b/>
        </w:rPr>
        <w:t>E. 3</w:t>
      </w:r>
    </w:p>
    <w:p>
      <w:r>
        <w:t>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t>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w:t>
      </w:r>
    </w:p>
    <w:p>
      <w:r>
        <w:t>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t>c. La mesure d'interdiction de pénétrer dans un périmètre déterminé vise en particulier à combattre le trafic de stupéfiants, ainsi qu'à maintenir les requérants</w:t>
      </w:r>
    </w:p>
    <w:p>
      <w:r>
        <w:t>- 6/9 - A/1122/2016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w:t>
      </w:r>
    </w:p>
    <w:p>
      <w:r>
        <w:rPr>
          <w:b/>
        </w:rPr>
        <w:t>E. 4</w:t>
      </w:r>
    </w:p>
    <w:p>
      <w:r>
        <w:t>En l'espèce, le recourant est dépourvu d'autorisation de séjour en Suisse. Il a été condamné le 13 avril 2016 pour détention de trois doses et d’un sachet d’héroïne ainsi que pour trafic de cette substance sous forme de vente d’une desdites doses. En outre, il a reconnu consommer régulièrement cette drogue depuis deux mois.</w:t>
      </w:r>
    </w:p>
    <w:p>
      <w:r>
        <w:t>Comme l’ont retenu l’officier de police et le TAPI sans contestation sous cet angle par l’intéressé, cette condamnation, même si elle n'est pas définitive, et ces circonstances fondent un soupçon suffisant d’un trouble contre la sécurité et l’ordre publics. Même dans l’hypothèse où ses allégations, selon lesquelles les trois doses d’héroïne trouvées en sa possession étaient un cadeau pour un ami et qu’il se rendait depuis deux mois à Unimail et achetait l’héroïne à un Albanais, étaient établies, elles démontreraient en tout état de cause un contact répété avec le milieu de la drogue.</w:t>
      </w:r>
    </w:p>
    <w:p>
      <w:r>
        <w:t>Par surabondance, les condamnations du recourant pour des vols constituent des indices concrets supplémentaires d’un soupçon suffisant au sens précité.</w:t>
      </w:r>
    </w:p>
    <w:p>
      <w:r>
        <w:t>La mesure querellée est donc fondée dans son principe.</w:t>
      </w:r>
    </w:p>
    <w:p>
      <w:r>
        <w:rPr>
          <w:b/>
        </w:rPr>
        <w:t>E. 5</w:t>
      </w:r>
    </w:p>
    <w:p>
      <w:r>
        <w:t>Pour être conforme au principe de la proportionnalité énoncé à l'art. 36 al. 3 de la Constitution fédérale de la Confédération suisse du 18 avril 1999 (Cst. - RS 101), une restriction d'un droit fondamental, en l'espèce la liberté de</w:t>
      </w:r>
    </w:p>
    <w:p>
      <w:r>
        <w:t>- 7/9 - A/1122/2016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t>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w:t>
      </w:r>
    </w:p>
    <w:p>
      <w:r>
        <w:rPr>
          <w:b/>
        </w:rPr>
        <w:t>E. 6</w:t>
      </w:r>
    </w:p>
    <w:p>
      <w:r>
        <w:t>a. Dans le cas présent, c’est en vain que le recourant prétend que les arrêts du Tribunal fédéral 2C_197/2013 et 2C_330/2015 précités admettant une interdiction de pénétrer dans une région complète, le centre-ville de Genève, pour une durée de six, respectivement douze mois, seraient réservés à des cas graves, ce qui ne serait pas le cas de ses propres agissements.</w:t>
      </w:r>
    </w:p>
    <w:p>
      <w:r>
        <w:t>En effet, la Haute Cour n’a pas fait dépendre cette mesure de la gravité des actes en cause.</w:t>
      </w:r>
    </w:p>
    <w:p>
      <w:r>
        <w:t>Au surplus, la détention et le trafic d’héroïne pour lesquels l’intéressé a été condamné le 13 avril 2016 ne sauraient être banalisées.</w:t>
      </w:r>
    </w:p>
    <w:p>
      <w:r>
        <w:t>Il sied à cet égard de relever que dans le cas tranché par l’arrêt 2C_197/2013, l’étranger avait tenté de se débarrasser de 43 gr de haschich – drogue douce – qu'il portait sur lui, avait reconnu à cette occasion qu'il venait de vendre trois morceaux de cette substance de 5 gr chacun, pour une somme de CHF 150.-, et avait admis qu'il complétait ses revenus par la vente de cannabis ; selon le Tribunal fédéral, le centre-ville de Genève, auquel l’interdiction de périmètre était limitée, était un lieu notoire du trafic de stupéfiants et on voyait mal qu'une durée inférieure à six mois puisse être efficace. En l’occurrence, les quantités ayant été découvertes sont certes moindres, mais il s’agit d’une drogue dure.</w:t>
      </w:r>
    </w:p>
    <w:p>
      <w:r>
        <w:t>Dans le cas tranché par l’arrêt 2C_330/2015, l’étranger avait été arrêté près du Quai 9 – comme en l’occurrence –, soit à l’intérieur du périmètre présentement litigieux, alors qu'il venait de remettre une dose d'héroïne à un autre toxicomane, était en possession de 7,1 gr de cette drogue ainsi que de deux flacons de méthadone, et avait exposé fréquenter le Quai 9 et se procurer régulièrement de l'héroïne auprès de vendeurs dans ce même secteur. En comparaison, d’une part, le fait que la quantité de l’héroïne – 3,7 gr – trouvée le 12 avril 2016 sur le recourant est deux fois moins importante que dans l’affaire précitée importe peu,</w:t>
      </w:r>
    </w:p>
    <w:p>
      <w:r>
        <w:t>- 8/9 - A/1122/2016 étant au demeurant relevé qu’elle est relativement conséquente ; d’autre part, dans le cas tranché par le Tribunal fédéral, celui-ci avait confirmé une durée d’interdiction de périmètre de douze mois, contre six dans le cas présent.</w:t>
      </w:r>
    </w:p>
    <w:p>
      <w:r>
        <w:t>b. Il convient par ailleurs de rappeler que c’est le simple soupçon qu'un étranger puisse commettre des infractions dans le milieu de la drogue qui justifie une mesure prise en application de l'art. 74 al. 1 let. a LEtr. Or, en l’espèce, l’acte de vente d’une dose de drogue dure associé à une consommation régulière ne peuvent qu’être inquiétants quant aux risques pour la sécurité et l’ordre publics que pourrait représenter le recourant.</w:t>
      </w:r>
    </w:p>
    <w:p>
      <w:r>
        <w:t>c. Enfin, le recourant n’a pas invoqué des contacts sociaux ou des affaires urgentes qui auraient été rendues impossibles par le périmètre litigieux. Le centre Appia où il allègue résider désormais se trouve du reste hors de ce périmètre.</w:t>
      </w:r>
    </w:p>
    <w:p>
      <w:r>
        <w:t>d. Au regard de la jurisprudence du Tribunal fédéral rappelée ci-dessus et des circonstances présentes, y compris du passé délictueux de l’intéressé, on ne voit pas quelle mesure moins incisive que celle prononcée le 13 avril 2016 par l’officier de police permettrait d’éviter de nouvelles violations contre la sécurité et l’ordre publics au centre-ville.</w:t>
      </w:r>
    </w:p>
    <w:p>
      <w:r>
        <w:t>En conséquence, la mesure litigieuse est conforme au principe de la proportionnalité.</w:t>
      </w:r>
    </w:p>
    <w:p>
      <w:r>
        <w:rPr>
          <w:b/>
        </w:rPr>
        <w:t>E. 7</w:t>
      </w:r>
    </w:p>
    <w:p>
      <w:r>
        <w:t>Vu ce qui précède, c'est à juste titre que le TAPI a confirmé la décision d’interdiction de pénétrer dans une région déterminée prise par l'officier de police le 13 avril 2016 à l'encontre du recourant pour une durée de six mois.</w:t>
      </w:r>
    </w:p>
    <w:p>
      <w:r>
        <w:t>Le recours sera dès lors rejeté.</w:t>
      </w:r>
    </w:p>
    <w:p>
      <w:r>
        <w:rPr>
          <w:b/>
        </w:rPr>
        <w:t>E. 8</w:t>
      </w:r>
    </w:p>
    <w:p>
      <w:r>
        <w:t>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