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ATA/410/2017 vom 11. April 2017</w:t>
      </w:r>
    </w:p>
    <w:p>
      <w:r>
        <w:t>GE Cour de justice, 2017-04-11, FR</w:t>
      </w:r>
    </w:p>
    <w:p>
      <w:r>
        <w:rPr>
          <w:b/>
        </w:rPr>
        <w:t xml:space="preserve">Quelle: </w:t>
      </w:r>
      <w:r>
        <w:t>https://mcp.opencaselaw.ch/entscheid/ge_gerichte_ATA_410_2017</w:t>
      </w:r>
    </w:p>
    <w:p>
      <w:r>
        <w:t>FR: GE_GERICHTE ATA/410/2017 du 11 avril 2017</w:t>
      </w:r>
    </w:p>
    <w:p>
      <w:r>
        <w:t>IT: GE_GERICHTE ATA/410/2017 del 11 aprile 2017</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a. Aux termes de l’art. 65 al. 1 LPA, l’acte de recours contient, sous peine d’irrecevabilité, la désignation de la décision attaquée et les conclusions du recourant.</w:t>
      </w:r>
    </w:p>
    <w:p>
      <w:r>
        <w:t>Compte tenu du caractère peu formaliste de cette disposition, il convient de ne pas se montrer trop strict sur la manière dont sont formulées les conclusions du recourant. Le fait que les conclusions ne ressortent pas expressément de l’acte de recours n’est pas, en soi, un motif d’irrecevabilité, pourvu que l’autorité judiciaire et la partie adverse puissent comprendre avec certitude les fins du recourant (ATA/312/2017 consid. 2a).</w:t>
      </w:r>
    </w:p>
    <w:p>
      <w:r>
        <w:t>- 4/7 - A/2322/2016</w:t>
      </w:r>
    </w:p>
    <w:p>
      <w:r>
        <w:t>b. En l’occurrence, la recourante, quand bien même elle s'adresse à la chambre administrative comme s'il s'agissait de l'autorité ayant pris la décision attaquée, montre clairement par la teneur de son courrier à la chambre de céans qu'elle entend voir la décision de la capitainerie annulée et qu'elle voudrait qu'un nouveau délai lui soit octroyé pour entrer en possession de la place d'amarrage qui lui avait été proposée.</w:t>
      </w:r>
    </w:p>
    <w:p>
      <w:r>
        <w:t>Il doit dès lors être entré en matière sur le recours.</w:t>
      </w:r>
    </w:p>
    <w:p>
      <w:r>
        <w:rPr>
          <w:b/>
        </w:rPr>
        <w:t>E. 3</w:t>
      </w:r>
    </w:p>
    <w:p>
      <w:r>
        <w:t>a. Aux termes de l’art. 10 de la loi sur la navigation dans les eaux genevoises du 17 mars 2006 (LNav - H 2 05), l’amarrage et le dépôt de bateaux dans les eaux genevoises et sur le domaine public, le long des rives, sont subordonnés à une autorisation « à bien plaire », personnelle et intransmissible (al. 1) ; les autorisations sont en priorité attribuées aux détenteurs de bateaux domiciliés dans le canton (al. 2) ; afin d'assurer une occupation rationnelle des ports, et notamment d'adapter les places d'amarrage aux dimensions des bateaux, l'autorité compétente peut, en cas de nécessité et après avoir consulté les propriétaires des bateaux, procéder ou faire procéder à des échanges de places (al. 3).</w:t>
      </w:r>
    </w:p>
    <w:p>
      <w:r>
        <w:t>En vertu de l’art. 16 al. 2 let. f LNav, les autorisations d'amarrage ou de dépôt peuvent être retirées notamment lorsque les conditions de la délivrance de l'autorisation ne sont plus remplies.</w:t>
      </w:r>
    </w:p>
    <w:p>
      <w:r>
        <w:t>b. Selon l’art. 3 du règlement d’application de la loi sur la navigation dans les eaux genevoises du 18 avril 2007 (RNav - H 2 05.01), le département de l’environnement, des transports et de l’agriculture (ci‑après : le département) est compétent pour délivrer les autorisations à bien plaire pour l'amarrage et le dépôt des bateaux dans les eaux publiques et sur le domaine public (al. 1 let. f) ; le département agit notamment par l'intermédiaire de la DGEau à laquelle est rattaché le service de la capitainerie (al. 2).</w:t>
      </w:r>
    </w:p>
    <w:p>
      <w:r>
        <w:t>Conformément à l’art. 11 RNav, le détenteur d'un bateau ne peut en aucun cas occuper une place d'amarrage ou une place à terre sans avoir obtenu une autorisation (al. 1) ; en principe, une seule place peut être attribuée par détenteur, sous réserve des places pour planches à voiles et annexes (al. 2) ; les autorisations sont délivrées « à bien plaire » par le service ; les conditions d'usage sont définies dans des directives (al. 3) ; les places d'amarrage et les places à terre sont attribuées en fonction des caractéristiques des bateaux (longueur, largeur, tirant d'eau, tirant d'air et poids), ainsi qu'en considération de la compatibilité des dimensions des bateaux avec les caractéristiques des ports genevois (al. 4) ; la procédure et les critères d'attribution sont précisés dans une directive édictée par le service et accessible au public (al. 5).</w:t>
      </w:r>
    </w:p>
    <w:p>
      <w:r>
        <w:t>Aux termes de l’art. 12 al. 1 RNav, les autorisations sont délivrées aux conditions suivantes : b) le détenteur doit fournir au service les caractéristiques du</w:t>
      </w:r>
    </w:p>
    <w:p>
      <w:r>
        <w:t>- 5/7 - A/2322/2016 bateau (longueur, largeur, tirant d'eau, tirant d'air et poids) ; c) le bateau doit être immatriculé dans le canton de Genève ; d) la place octroyée doit être occupée par le bateau bénéficiant de l'autorisation ; e) la place octroyée doit être occupée au plus tard le 1er juin de chaque année, sauf autorisation spéciale du service ; f) d'entente avec le service, le détenteur peut mettre sa place à disposition d'un tiers pour une durée déterminée ; l'embarcation du tiers doit être immatriculée et correspondre aux caractéristiques de la place ; g) toute location est interdite; demeurent réservés les emplacements à l'usage des professionnels.</w:t>
      </w:r>
    </w:p>
    <w:p>
      <w:r>
        <w:rPr>
          <w:b/>
        </w:rPr>
        <w:t>E. 4</w:t>
      </w:r>
    </w:p>
    <w:p>
      <w:r>
        <w:t>a. En l’espèce, force est de constater que l'une des conditions de délivrance de l'autorisation, à savoir, selon l'art. 12 al. 1 let. e RNav, que la place d'amarrage octroyée doit être occupée au plus tard le 1er juin de chaque année sauf autorisation spéciale du service, n'a pas été respectée par Mme A______, si bien que l'autorisation du 4 juin 2015 pouvait valablement, sur la base de l'art. 16 al. 2 let. f LNav, être révoquée par le biais de la décision attaquée.</w:t>
      </w:r>
    </w:p>
    <w:p>
      <w:r>
        <w:t>b. Il ressort par ailleurs du dossier, sans que cela soit remis en cause de manière étayée par la recourante, que la décision du 4 juin 2015 lui a été communiquée par pli recommandé et par pli simple, à l'adresse qui est la sienne depuis 1995.</w:t>
      </w:r>
    </w:p>
    <w:p>
      <w:r>
        <w:t>Les éléments qu'elle allègue à l'appui de sa demande de « report du délai », à savoir qu'elle est très occupée professionnellement et ne relève pas personnellement son courrier, ne sauraient dans ce cadre lui être d'un quelconque secours. Il lui appartenait en effet d'organiser, en cas d'absence prolongée, la relève adéquate de son courrier personnel, ce d'autant plus qu'elle venait de renvoyer la proposition du 12 mai 2015 contresignée par ses soins, et devait donc s'attendre à recevoir dans les semaines qui suivaient une communication de la capitainerie lui précisant les modalités de prise de possession de la place d'amarrage convoitée.</w:t>
      </w:r>
    </w:p>
    <w:p>
      <w:r>
        <w:rPr>
          <w:b/>
        </w:rPr>
        <w:t>E. 5</w:t>
      </w:r>
    </w:p>
    <w:p>
      <w:r>
        <w:t>Au vu de ce qui précède, la décision étant en tous points conforme au droit, le recours sera rejeté.</w:t>
      </w:r>
    </w:p>
    <w:p>
      <w:r>
        <w:rPr>
          <w:b/>
        </w:rPr>
        <w:t>E. 6</w:t>
      </w:r>
    </w:p>
    <w:p>
      <w:r>
        <w:t>Vu l’issue du litige, un émolument de CHF 250.- sera mis à la charge de la recourante, qui succombe (art. 87 al. 1 LPA), et aucune indemnité de procédure ne sera allouée (art. 87 al. 2 LPA).</w:t>
      </w:r>
    </w:p>
    <w:p>
      <w:r>
        <w:t>* * * * *</w:t>
      </w:r>
    </w:p>
    <w:p>
      <w:r>
        <w:t>- 6/7 - A/2322/2016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