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ATA/40/2020 vom 14. Januar 2020</w:t>
      </w:r>
    </w:p>
    <w:p>
      <w:r>
        <w:t>GE Cour de justice, 2020-01-14, FR</w:t>
      </w:r>
    </w:p>
    <w:p>
      <w:r>
        <w:rPr>
          <w:b/>
        </w:rPr>
        <w:t xml:space="preserve">Quelle: </w:t>
      </w:r>
      <w:r>
        <w:t>https://mcp.opencaselaw.ch/entscheid/ge_gerichte_ATA_40_2020</w:t>
      </w:r>
    </w:p>
    <w:p>
      <w:r>
        <w:t>FR: GE_GERICHTE ATA/40/2020 du 14 janvier 2020</w:t>
      </w:r>
    </w:p>
    <w:p>
      <w:r>
        <w:t>IT: GE_GERICHTE ATA/40/2020 del 14 gennaio 2020</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- 3/5 - A/3900/2019</w:t>
      </w:r>
    </w:p>
    <w:p>
      <w:r>
        <w:t>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(ATA/1243/2017 précité consid. 2a).</w:t>
      </w:r>
    </w:p>
    <w:p>
      <w:r>
        <w:t>c. En l'espèce, les recourants n’ont pas pris de conclusions formelles dans leur recours. La chambre administrative comprend toutefois de leur acte de recours qu'ils sont en désaccord avec le montant qu’ils craignent, par ailleurs, de ne pas pouvoir assumer.</w:t>
      </w:r>
    </w:p>
    <w:p>
      <w:r>
        <w:t>Le recours est ainsi recevable.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(art. 285 al. 1 CC).</w:t>
      </w:r>
    </w:p>
    <w:p>
      <w:r>
        <w:t>b. L'art. 310 al. 1 CC prévoit que lorsqu'elle ne peut éviter autrement que le développement de l'enfant ne soit compromis, l'autorité de protection de l'enfant retire l'enfant aux père et mère ou aux tiers chez qui il se trouve et le place de façon appropriée.</w:t>
      </w:r>
    </w:p>
    <w:p>
      <w:r>
        <w:t>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2 al. 1 et 2, ainsi que 3 du règlement fixant la contribution des père et mère aux frais d’entretien du mineur placé hors du foyer familial ou en structures d’enseignement spécialisé de jour du 21 novembre 2012 - RCFEMP - J 6 26.4).</w:t>
      </w:r>
    </w:p>
    <w:p>
      <w:r>
        <w:t>- 4/5 - A/3900/2019</w:t>
      </w:r>
    </w:p>
    <w:p>
      <w:r>
        <w:t>d. En vertu de l’art. 2 RCFEMP, lors de placements résidentiels au sens de l’art. 1 al. 1 let. a à c RCFEMP, le prix de pension est facturé sur une base journalière forfaitaire fixée à CHF 30.- (al. 1) ; à ce montant se rajoutent les frais d’entretien personnel du mineur qui sont à la charge des père et mère (al. 2).</w:t>
      </w:r>
    </w:p>
    <w:p>
      <w:r>
        <w:t>Conformément au ch. 3 de la directive interne d'application du RCFEMP, entrée en vigueur le 1er janvier 2015 (ci-après : directive 2015), quel que soit le nombre de jours compris dans le mois, le montant forfaitaire mensuel prévu à l'art. 2 al. 1 RCFEMP est fixé à CHF 900.- (ATA/873/2019 du 7 mai 2019 consid. 3d)</w:t>
      </w:r>
    </w:p>
    <w:p>
      <w:r>
        <w:t>L'art. 3 RCFEMP prévoit que les frais d'entretien personnel mensuels s'élèvent à CHF 285.- pour un enfant de 14 - 15 ans.</w:t>
      </w:r>
    </w:p>
    <w:p>
      <w:r>
        <w:t>e. En l'espèce, il n’est pas contesté que l’enfant est placé.</w:t>
      </w:r>
    </w:p>
    <w:p>
      <w:r>
        <w:t>Le montant de CHF 1'185.- est conforme aux art. 2 al. 1 et 2 et 3 RCFEMP puisqu’il se compose des CHF 900.- de frais de pension et de CHF 265.- de frais personnels, correspondant au montant prévu pour l’âge de l’enfant.</w:t>
      </w:r>
    </w:p>
    <w:p>
      <w:r>
        <w:t>Aucun rabais n’est accordé, les parents ayant un seul enfant à charge et un RDU supérieur à CHF 95'001.-, ce qu’ils ne contestent pas.</w:t>
      </w:r>
    </w:p>
    <w:p>
      <w:r>
        <w:t>Au vu de ce qui précède, le recours, infondé, sera rejeté.</w:t>
      </w:r>
    </w:p>
    <w:p>
      <w:r>
        <w:t>Vu la nature du litige, il ne sera pas perçu d’émolument (art. 87 al. 1 LPA et 11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