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ATA/40/2011 vom 6. Juli 2007</w:t>
      </w:r>
    </w:p>
    <w:p>
      <w:r>
        <w:t>GE Cour de justice, 2007-07-06, FR</w:t>
      </w:r>
    </w:p>
    <w:p>
      <w:r>
        <w:rPr>
          <w:b/>
        </w:rPr>
        <w:t xml:space="preserve">Quelle: </w:t>
      </w:r>
      <w:r>
        <w:t>https://mcp.opencaselaw.ch/entscheid/ge_gerichte_ATA_40_2011</w:t>
      </w:r>
    </w:p>
    <w:p>
      <w:r>
        <w:t>FR: GE_GERICHTE ATA/40/2011 du 6 juillet 2007</w:t>
      </w:r>
    </w:p>
    <w:p>
      <w:r>
        <w:t>IT: GE_GERICHTE ATA/40/2011 del 6 luglio 2007</w:t>
      </w:r>
    </w:p>
    <w:p>
      <w:pPr>
        <w:pStyle w:val="Heading2"/>
      </w:pPr>
      <w:r>
        <w:t>Erwägungen</w:t>
      </w:r>
    </w:p>
    <w:p>
      <w:r>
        <w:rPr>
          <w:b/>
        </w:rPr>
        <w:t>E. 1</w:t>
      </w:r>
    </w:p>
    <w:p>
      <w:r>
        <w:t>Interjeté en temps utile devant la juridiction compétente, le recours est recevable (art. 132 al. 1 de la loi sur l’organisation judiciaire du 26 septembre 2010 - LOJ - E 2 05 ; art. 62 al. 1 let. b LPA).</w:t>
      </w:r>
    </w:p>
    <w:p>
      <w:r>
        <w:rPr>
          <w:b/>
        </w:rPr>
        <w:t>E. 2</w:t>
      </w:r>
    </w:p>
    <w:p>
      <w:r>
        <w:t>Selon l’art. 10 al. 2 de la loi d'application de la loi fédérale sur les étrangers du 16 juin 1988 (LaLEtr - F 2 10), la chambre administrative doit juger dans les dix jours qui suivent sa saisine. Ayant reçu le recours le 17 janvier 2011 et statuant ce jour, elle respecte ce délai.</w:t>
      </w:r>
    </w:p>
    <w:p>
      <w:r>
        <w:rPr>
          <w:b/>
        </w:rPr>
        <w:t>E. 3</w:t>
      </w:r>
    </w:p>
    <w:p>
      <w:r>
        <w:t>Les conditions de délai minimales imposées par les art. 8 al. 3 et 9 al. 3 LaLEtr ayant été respectées, c'est à juste titre que la commission a abordé le fond du litige.</w:t>
      </w:r>
    </w:p>
    <w:p>
      <w:r>
        <w:rPr>
          <w:b/>
        </w:rPr>
        <w:t>E. 4</w:t>
      </w:r>
    </w:p>
    <w:p>
      <w:r>
        <w:t>La chambre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 2C.128/2009 du 30 mars 2009, consid. 3.1).</w:t>
      </w:r>
    </w:p>
    <w:p>
      <w:r>
        <w:t>b.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w:t>
      </w:r>
    </w:p>
    <w:p>
      <w:r>
        <w:t>- 8/10 - A/1/2011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t>En l’espèce, le recourant fait l’objet d’une décision de renvoi exécutoire et définitive, étant précisé qu’il aurait dû quitter le pays en juillet 2007 déjà. Il est entré dans la clandestinité dès le 14 février 2010. Il est établi qu’il n’a aucunement collaboré à l’établissement de sa nationalité : après avoir donné une indication erronée à l’ODM dans le cadre de sa demande d’asile, il prétend maintenant qu’il n’est pas sûr d’être de nationalité russe et que son origine serait soit l’Ossétie, soit la Tchétchénie. A deux reprises il a refusé de se soumettre à l’expertise Lingua de sorte qu’il convient d’attendre le résultat de la nouvelle audition prévue pour le</w:t>
      </w:r>
    </w:p>
    <w:p>
      <w:r>
        <w:rPr>
          <w:b/>
        </w:rPr>
        <w:t>E. 8</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A cet égard, la chambre administrative relève qu’aucun reproche ne peut être fait ni à l’OCP ni à l’ODM qui ont manifestement agi avec célérité et sans désemparer pour tenter d’établir la nationalité du recourant.</w:t>
      </w:r>
    </w:p>
    <w:p>
      <w:r>
        <w:rPr>
          <w:b/>
        </w:rPr>
        <w:t>E. 9</w:t>
      </w:r>
    </w:p>
    <w:p>
      <w:r>
        <w:t>Selon l'art. 80 al 4 LEtr, la détention doit être levée lorsque son motif n’existe plus ou si, selon l'art. 80 al. 6 let. a LEtr, l’exécution du renvoi ou de l’expulsion s’avère impossible pour des raisons juridiques ou matérielles ou qu’il</w:t>
      </w:r>
    </w:p>
    <w:p>
      <w:r>
        <w:t>- 9/10 - A/1/2011 ne peut être raisonnablement exigé, cette dernière disposition légale renvoyant à l'art. 83 al. 1 à 4 LEtr.</w:t>
      </w:r>
    </w:p>
    <w:p>
      <w:r>
        <w:t>La jurisprudence a précisé que le juge de la détention est lié par la décision de renvoi, en particulier lorsqu'elle a été rendue dans le cadre d'une procédure d'asile (ATF 128 II 193 consid. 2.2.2 p. 197/198 et la jurisprudence citée). Il ne peut revoir la légalité de cette dernière que lorsqu'elle est manifestement contraire au droit ou clairement insoutenable au point d'apparaître nulle.</w:t>
      </w:r>
    </w:p>
    <w:p>
      <w:r>
        <w:t>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(Arrêt du Tribunal fédéral 2C_445/2007 du 30 octobre 2007 et la jurisprudence citée).</w:t>
      </w:r>
    </w:p>
    <w:p>
      <w:r>
        <w:t>En l’occurrence, le recourant n’invoque aucun élément nouveau qui n’aurait pas déjà été pris en considération, notamment par le TAF. Le traitement à la méthadone qu’il affirme suivre n’est nullement documenté et le dossier ne contient aucun certificat médical qui aurait été établi par les HUG au début de l’année 2011.</w:t>
      </w:r>
    </w:p>
    <w:p>
      <w:r>
        <w:t>Aucune des conditions de l’art. 80 al. 4 LEtr étant réunie, la demande de mise en liberté sera rejetée.</w:t>
      </w:r>
    </w:p>
    <w:p>
      <w:r>
        <w:rPr>
          <w:b/>
        </w:rPr>
        <w:t>E. 10</w:t>
      </w:r>
    </w:p>
    <w:p>
      <w:r>
        <w:t>Au vu de ce qui précède, le recours sera rejeté. Aucun émolument ne sera perçu, la procédure étant gratuite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