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ATA/409/2020 vom 30. April 2020</w:t>
      </w:r>
    </w:p>
    <w:p>
      <w:r>
        <w:t>GE Cour de justice, 2020-04-30, FR</w:t>
      </w:r>
    </w:p>
    <w:p>
      <w:r>
        <w:rPr>
          <w:b/>
        </w:rPr>
        <w:t xml:space="preserve">Quelle: </w:t>
      </w:r>
      <w:r>
        <w:t>https://mcp.opencaselaw.ch/entscheid/ge_gerichte_ATA_409_2020</w:t>
      </w:r>
    </w:p>
    <w:p>
      <w:r>
        <w:t>FR: GE_GERICHTE ATA/409/2020 du 30 avril 2020</w:t>
      </w:r>
    </w:p>
    <w:p>
      <w:r>
        <w:t>IT: GE_GERICHTE ATA/409/2020 del 30 aprile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Compte tenu de ce qui précède, le recours sera admis. Le jugement du TAPI du 9 septembre 2019 ainsi que la décision du département du 6 décembre 2018 seront annulés.</w:t>
      </w:r>
    </w:p>
    <w:p>
      <w:r>
        <w:t>Vu l’issue du recours, aucun émolument ne sera perçu (art. 87 al. 1 LPA). Une indemnité de procédure de CHF 1'000.- sera allouée au recourant, qui y a conclu et qui obtient gain de cause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