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ATA/409/2012 vom 2. Juli 2012</w:t>
      </w:r>
    </w:p>
    <w:p>
      <w:r>
        <w:t>GE Cour de justice, 2012-07-02, FR</w:t>
      </w:r>
    </w:p>
    <w:p>
      <w:r>
        <w:rPr>
          <w:b/>
        </w:rPr>
        <w:t xml:space="preserve">Quelle: </w:t>
      </w:r>
      <w:r>
        <w:t>https://mcp.opencaselaw.ch/entscheid/ge_gerichte_ATA_409_2012</w:t>
      </w:r>
    </w:p>
    <w:p>
      <w:r>
        <w:t>FR: GE_GERICHTE ATA/409/2012 du 2 juillet 2012</w:t>
      </w:r>
    </w:p>
    <w:p>
      <w:r>
        <w:t>IT: GE_GERICHTE ATA/409/2012 del 2 luglio 2012</w:t>
      </w:r>
    </w:p>
    <w:p>
      <w:pPr>
        <w:pStyle w:val="Heading2"/>
      </w:pPr>
      <w:r>
        <w:t>Erwägungen</w:t>
      </w:r>
    </w:p>
    <w:p>
      <w:r>
        <w:rPr>
          <w:b/>
        </w:rPr>
        <w:t>E. 1</w:t>
      </w:r>
    </w:p>
    <w:p>
      <w:r>
        <w:t>Interjeté le 21 juin 2012 contre le jugement du TAPI du 11 juin 2012, remis en mains propres à l’intéressé le jour même, le recours, formé en temps utile devant la juridiction compétente,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Ayant reçu le recours le 22 juin 2012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Les conditions de la mise en détention administrative, de même que la légalité de celle-ci, ont été examinées le 2 mai 2012 par la chambre de céans (ATA/257/2012 précité). Elles demeurent d’actualité, de sorte qu’il n’y a pas lieu d’y revenir.</w:t>
      </w:r>
    </w:p>
    <w:p>
      <w:r>
        <w:rPr>
          <w:b/>
        </w:rPr>
        <w:t>E. 5</w:t>
      </w:r>
    </w:p>
    <w:p>
      <w:r>
        <w:t>Seule est en cause la proportionnalité de la durée de la détention. Ordonnée pour deux mois par l’officier de police le 13 avril 2012 et confirmée par le TAPI</w:t>
      </w:r>
    </w:p>
    <w:p>
      <w:r>
        <w:t>- 5/6 - A/1758/2012 le 16 avril 2012, soit jusqu’au 13 juin 2012, puis requise le 8 juin 2012 par l’OCP pour trois mois, cette durée a été réduite à deux mois par le TAPI le 11 juin 2012. Le recourant sollicite qu’elle soit réduite encore, mais à cinq semaines, soit jusqu’au 16 juillet 2012 en lieu et place du 11 août 2012, pour tenir compte des assertions du représentant de l’OCP selon lesquelles quatre semaines étaient nécessaires pour l’obtention d’un laissez-passer et une semaine pour l’organisation d’un vol. Cette argumentation repose sur le fait que l’OCP et / ou l’ODM n’auraient pas fait preuve de toute la célérité requise alors qu’il résulte clairement de l’état de fait précité que l’un et l’autre sont dans l’attente de la décision des autorités algériennes, sur laquelle ils n’ont pas de prise.</w:t>
      </w:r>
    </w:p>
    <w:p>
      <w:r>
        <w:rPr>
          <w:b/>
        </w:rPr>
        <w:t>E. 6</w:t>
      </w:r>
    </w:p>
    <w:p>
      <w:r>
        <w:t>Quant au recourant, et malgré ses diverses promesses, il n’a jamais collaboré, ni tenté d’obtenir des papiers d’identité de son pays d’origine, au point que les autorités algériennes cherchent maintenant à établir sa nationalité. Si durant sa détention, M. B______ avait collaboré, la durée de la détention administrative, rendue nécessaire par les démarches à entreprendre pour le renvoyer dans son pays d’origine, aurait pu être écourtée et il ne peut s’en prendre qu’à lui-même d’être encore en détention administrative pour ce motif.</w:t>
      </w:r>
    </w:p>
    <w:p>
      <w:r>
        <w:t>En réduisant à deux mois la durée de la prolongation, soit jusqu’au 11 août 2012, le TAPI n’a pas fait suite à la requête de l’OCP qui souhaitait une prolongation de trois mois. Le principe de proportionnalité est ainsi très largement respecté par le jugement entrepris et le fait de réduire la prolongation à cinq semaines, soit au minimum du laps de temps estimé nécessaire pour obtenir une réponse des autorités algériennes, est excessif et risque de contraindre les autorités, si ces délais ne pouvaient être respectés, à déposer une nouvelle requête. Par ailleurs, la durée actuelle de la détention administrative respecte très largement la durée maximale prévue par l’art. 79 LEtr.</w:t>
      </w:r>
    </w:p>
    <w:p>
      <w:r>
        <w:rPr>
          <w:b/>
        </w:rPr>
        <w:t>E. 7</w:t>
      </w:r>
    </w:p>
    <w:p>
      <w:r>
        <w:t>En tous points mal fondé, le recours sera rejeté. Vu la nature du litige, il ne sera pas perçu d’émolument. Vu l’issue de celui-ci,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