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ATA/409/2009 vom 19. Mai 2009</w:t>
      </w:r>
    </w:p>
    <w:p>
      <w:r>
        <w:t>GE Cour de justice, 2009-05-19, FR</w:t>
      </w:r>
    </w:p>
    <w:p>
      <w:r>
        <w:rPr>
          <w:b/>
        </w:rPr>
        <w:t xml:space="preserve">Quelle: </w:t>
      </w:r>
      <w:r>
        <w:t>https://mcp.opencaselaw.ch/entscheid/ge_gerichte_ATA_409_2009</w:t>
      </w:r>
    </w:p>
    <w:p>
      <w:r>
        <w:t>FR: GE_GERICHTE ATA/409/2009 du 19 mai 2009</w:t>
      </w:r>
    </w:p>
    <w:p>
      <w:r>
        <w:t>IT: GE_GERICHTE ATA/409/2009 del 19 maggio 2009</w:t>
      </w:r>
    </w:p>
    <w:p>
      <w:pPr>
        <w:pStyle w:val="Heading2"/>
      </w:pPr>
      <w:r>
        <w:t>Erwägungen</w:t>
      </w:r>
    </w:p>
    <w:p>
      <w:r>
        <w:rPr>
          <w:b/>
        </w:rPr>
        <w:t>E. 1</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2ème éd., p. 674 n. 5.7.1.4). Des conclusions conditionnelles sont en revanche irrecevables (ATA précités).</w:t>
      </w:r>
    </w:p>
    <w:p>
      <w:r>
        <w:t>L’absence de conclusions au sens de ce qui précède ne peut être réparée que dans le délai de recours (ATA/19/2006 du 17 janvier 2006). Hors ce délai, le fait d’être autorisé à compléter une écriture de recours ne permet pas de suppléer au défaut de conclusions (art. 65 al. 3 LPA ; ATA/118/2006 du 7 mars 2006).</w:t>
      </w:r>
    </w:p>
    <w:p>
      <w:r>
        <w:t>Quant à l’exigence de motivation de l’art. 65 al. 2 LPA, elle a pour but de permettre à la juridiction administrative de déterminer l’objet du litige qui lui est soumis et de donner l’occasion à la partie intimée de répondre aux griefs formulés à son encontre (ATA/1/2007 du 9 janvier 2007 ; ATA/775/2005 du 15 novembre 2005 ; ATA/172/2001 du 13 mars 2001 ; Société T. du 13 avril 1988 ; P. MOOR, op. cit., pp. 672-674 n. 5.7.1.3). Elle signifie que le recourant doit expliquer en quoi et pourquoi il s’en prend à la décision litigieuse (ATA/23/2006 du 17 janvier 2006 ; cf. ég.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w:t>
      </w:r>
    </w:p>
    <w:p>
      <w:r>
        <w:t>- 4/5 - A/1659/2009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ceux-ci (ATF 131 II 470,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w:t>
      </w:r>
    </w:p>
    <w:p>
      <w:r>
        <w:rPr>
          <w:b/>
        </w:rPr>
        <w:t>E. 2</w:t>
      </w:r>
    </w:p>
    <w:p>
      <w:r>
        <w:t>En l’espèce, le courrier que le Tribunal administratif a reçu le 20 mai 2009 ne comporte aucune conclusion, ne mentionne pas la décision attaquée et n’est pas signée. Cela étant, le Tribunal administratif n’a pas déclaré d’entrée de cause le recours irrecevable et a accordé un délai au recourant pour se conformer aux exigences de l’art. 65 LPA.</w:t>
      </w:r>
    </w:p>
    <w:p>
      <w:r>
        <w:t>Le recourant n’a pas pu être atteint, ayant quitté l’établissement de détention de La Brenaz sans laisser d’adresse.</w:t>
      </w:r>
    </w:p>
    <w:p>
      <w:r>
        <w:t>Dès lors, le Tribunal administratif ne peut que déclarer le recours irrecevable.</w:t>
      </w:r>
    </w:p>
    <w:p>
      <w:r>
        <w:rPr>
          <w:b/>
        </w:rPr>
        <w:t>E. 3</w:t>
      </w:r>
    </w:p>
    <w:p>
      <w:r>
        <w:t>Nonobstant l’issue du litige, mais pour tenir compte des circonstances du cas d’espèce, aucun émolument ne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