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ATA/408/2014 vom 3. Juni 2014</w:t>
      </w:r>
    </w:p>
    <w:p>
      <w:r>
        <w:t>GE Cour de justice, 2014-06-03, FR</w:t>
      </w:r>
    </w:p>
    <w:p>
      <w:r>
        <w:rPr>
          <w:b/>
        </w:rPr>
        <w:t xml:space="preserve">Quelle: </w:t>
      </w:r>
      <w:r>
        <w:t>https://mcp.opencaselaw.ch/entscheid/ge_gerichte_ATA_408_2014</w:t>
      </w:r>
    </w:p>
    <w:p>
      <w:r>
        <w:t>FR: GE_GERICHTE ATA/408/2014 du 3 juin 2014</w:t>
      </w:r>
    </w:p>
    <w:p>
      <w:r>
        <w:t>IT: GE_GERICHTE ATA/408/2014 del 3 giugno 2014</w:t>
      </w:r>
    </w:p>
    <w:p>
      <w:pPr>
        <w:pStyle w:val="Heading2"/>
      </w:pPr>
      <w:r>
        <w:t>Erwägungen</w:t>
      </w:r>
    </w:p>
    <w:p>
      <w:r>
        <w:rPr>
          <w:b/>
        </w:rPr>
        <w:t>E. 12</w:t>
      </w:r>
    </w:p>
    <w:p>
      <w:r>
        <w:t>septembre 1985 - LPA - E 5 10). 2) a. La LAVI est entrée en vigueur le 1er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w:t>
      </w:r>
    </w:p>
    <w:p>
      <w:r>
        <w:t>- 6/11 - A/2355/2013 des faits qui se sont produits moins de deux ans avant l’entrée en vigueur de cette loi.</w:t>
      </w:r>
    </w:p>
    <w:p>
      <w:r>
        <w:t>En l’espèce, l'incident litigieux s'est produit en mai 2010. Le nouveau droit est, par conséquent, applicable.</w:t>
      </w:r>
    </w:p>
    <w:p>
      <w:r>
        <w:t>b. Entrée en vigueur le 1er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 3) a. À teneur de l'art. 1 al. 1 LAVI, toute personne qui a subi, du fait d'une infraction, une atteinte directe à son intégrité physique, psychique ou sexuelle (victime) a droit au soutien prévu par la loi (aide aux victimes). Le troisième alinéa de cette disposition précise que le droit à l'aide aux victimes existe, que l'auteur de l'infraction ait été découvert ou non (let. a), ait eu un comportement fautif ou non (let. b), ait agi intentionnellement ou par négligence (let. c).</w:t>
      </w:r>
    </w:p>
    <w:p>
      <w:r>
        <w:t>b.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w:t>
      </w:r>
    </w:p>
    <w:p>
      <w:r>
        <w:t>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w:t>
      </w:r>
    </w:p>
    <w:p>
      <w:r>
        <w:t>- 7/11 - A/2355/2013 l’instance LAVI (art. 23 al. 2 LAVI). La victime doit ainsi rendre vraisemblable qu’elle ne peut rien recevoir de tiers ou qu’elle ne peut en recevoir que des montants insuffisants (ATF 125 II 169 consid. 2cc, p. 175).</w:t>
      </w:r>
    </w:p>
    <w:p>
      <w:r>
        <w:t>c. Il est également prévu un montant maximum pour les indemnités (CHF 70'000.- pour la réparation morale à la victime elle-même, art. 23 let. a LAVI). Le législateur n'avait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t>d. 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w:t>
      </w:r>
    </w:p>
    <w:p>
      <w:r>
        <w:t>e. La réparation morale en faveur de la victime peut être réduite ou exclue si celle-ci a contribué à causer l'atteinte ou à l'aggraver (art. 27 LAVI).</w:t>
      </w:r>
    </w:p>
    <w:p>
      <w:r>
        <w:t>f. Enfin, selon l'art. 28 LAVI, aucun intérêt n'est dû pour l'indemnité et la réparation morale. 5)</w:t>
      </w:r>
    </w:p>
    <w:p>
      <w:r>
        <w:t>En tant que telle, l'infraction de lésions corporelles simples, réprimée par l'art. 123 du code pénal suisse du 21 décembre 1937 (CP - RS 311.0), est susceptible de fonder la qualité de victime au sens de la LAVI, pour autant que l'atteinte soit d'une certaine gravité (Arrêts du Tribunal fédéral 6B_973/2010 du 26 avril 2011 consid. 1.2 ; 6B_149/2009 du 28 mai 2009 consid. 2.2). Il ne suffit ainsi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p. 218 ; Arrêt du Tribunal fédéral 6B_973/2010 précité consid. 1.2).</w:t>
      </w:r>
    </w:p>
    <w:p>
      <w:r>
        <w:t>- 8/11 - A/2355/2013 6)</w:t>
      </w:r>
    </w:p>
    <w:p>
      <w:r>
        <w:t>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7)</w:t>
      </w:r>
    </w:p>
    <w:p>
      <w:r>
        <w:t>Comme déjà mentionné, l'art. 22 al. 1 LAVI renvoie expressément à l'art. 47 CO. Dans ce cadre, les lésions corporelles, qui englobent tant les atteintes physiques que psychiques, doivent toutefois en principe impliquer une importante douleur physique ou morale ou avoir causé une atteinte durable à la santé pour donner droit à une indemnité équitable à titre de réparation morale. Parmi les circonstances qui peuvent, selon les cas, justifier l'application de l'art. 47 CO, figurent une longue période de souffrance et d'incapacité de travail, de même que les préjudices psychiques importants (Arrêts du Tribunal fédéral 6B_246/2012 du 10 juillet 2012, consid. 3.1.1 ; 6B_970/2010 du 23 mai 2011 consid. 1.1.2 ; 4A_373/2007 du 8 janvier 2008 consid. 3.2, non publié in ATF 134 III 97 ; 132 II 117 consid. 2.2.2 p. 119 ; 127 IV 215 consid. 2a p. 216). 8)</w:t>
      </w:r>
    </w:p>
    <w:p>
      <w:r>
        <w:t>En l'espèce, l'instance LAVI a nié la qualité de victime du recourant, alors que le centre LAVI l'a au contraire reconnue et a indemnisé un dommage matériel, à savoir ses frais dentaires.</w:t>
      </w:r>
    </w:p>
    <w:p>
      <w:r>
        <w:t>Toutefois, comme cela découle des considérants qui précèdent, l'objet du présent litige consiste exclusivement à savoir si le recourant est fondé à réclamer une réparation morale, et le cas échéant de déterminer son montant sur la base des conclusions contenues dans son acte de recours. On doit néanmoins souligner que qualifier d'infraction pénale le comportement de M. D______ le 19 mai 2010 vis- à-vis du recourant ne saurait être considéré comme donné d'emblée, le Tribunal des mineurs ayant été saisi d'une dénonciation pénale et ayant classé la procédure pénale ouverte à l'encontre de l'intéressé « faute de prévention suffisante » – étant rappelé par ailleurs qu'une ordonnance de classement entrée en force équivaut à un acquittement (art. 320 al. 4 du Code de procédure pénale suisse du 5 octobre 2007 - CPP - RS 312.0, en l'occurrence cum art. 3 al. 3 de la loi fédérale du 20 mars 2009 sur la procédure pénale applicable aux mineurs - PPMin - RS 312.1). 9) a. Le recourant fonde ses prétentions en réparation morale sur ses souffrances psychiques consécutives aux événements du 19 mai 2010, ainsi que sur le fait d'avoir dû vivre plus de deux ans avec une dentition incomplète, ce qui lui aurait causé des difficultés d'alimentation.</w:t>
      </w:r>
    </w:p>
    <w:p>
      <w:r>
        <w:t>- 9/11 - A/2355/2013</w:t>
      </w:r>
    </w:p>
    <w:p>
      <w:r>
        <w:t>b. Sur le plan physique, parmi les différents éléments recensés par les certificats et constats médicaux figurant au dossier, seules les lésions dentaires présentent un certain degré de gravité, le reste étant des dermabrasions et des douleurs à la palpation. Les lésions dentaires en question consistent en un déchaussement de trois dents, que le recourant a perdues par la suite ; il sied de relever que selon le constat du 6 juin 2010, le recourant ne s'est pas plaint de problèmes dentaires en arrivant à l'hôpital, et qu'aucun traitement dentaire n'a été instauré. Les différents constats médicaux font de plus état d'une mauvaise hygiène dentaire du recourant, sans toutefois en tirer de conséquences au sujet des causalités respective de celle-ci et des coups subis sur le déchaussement en cause. Il n'est en outre pas exclu que le diabète du recourant – dont on ne sait toutefois pas quand il est apparu ni quand il a été diagnostiqué pour la première fois – ait pu avoir une influence négative sur sa condition dentaire et parodontale.</w:t>
      </w:r>
    </w:p>
    <w:p>
      <w:r>
        <w:t>Les difficultés d'alimentation sur une période de deux ans, qu'allègue le recourant, ne sont quant à elles pas attestées médicalement. À cet égard, même s'il découle de l'expérience générale de la vie que la perte de deux incisives voisines et d'une prémolaire puisse entraîner des difficultés de ce type, leur gravité n'est en l’espèce aucunement documentée.</w:t>
      </w:r>
    </w:p>
    <w:p>
      <w:r>
        <w:t>Par ailleurs, les frais dentaires proprement dits du recourant ont déjà été remboursés par le centre LAVI à titre de dommage matériel.</w:t>
      </w:r>
    </w:p>
    <w:p>
      <w:r>
        <w:t>c. Sur le plan psychique, le constat médical du 6 juin 2010 fait certes état d'une thymie triste, mais en lien direct avec l'évocation par le recourant de son parcours de vie et non spécifiquement avec l'altercation du 19 mai 2010. Quant à l'attestation du centre LAVI du 16 janvier 2013, son auteur fait le même constat. Une dépression ou un stress post-traumatique en lien avec l'infraction n'est donc nullement établi, étant précisé que la jurisprudence exige également d'une telle condition, pour donner lieu à réparation morale, qu'elle entraîne une modification durable de la personnalité (Arrêt du Tribunal fédéral 1C_296/2012 précité consid. 3.2.2). 10) Il résulte de ce qui précède que les atteintes subies par le recourant n'atteignent pas le degré de gravité requis pour justifier l'octroi d'une indemnité pour tort moral en application de l'art. 22 al. 1 LAVI.</w:t>
      </w:r>
    </w:p>
    <w:p>
      <w:r>
        <w:t>Le recours sera en conséquence rejeté. 11) Vu les circonstances de la cause, il sera renoncé à la perception d'un émolument (art. 87 al. 1 LPA). Vu l'issue du litige, aucune indemnité de procédure ne sera allouée (art. 87 al. 2 LPA).</w:t>
      </w:r>
    </w:p>
    <w:p>
      <w:r>
        <w:t>* * * * *</w:t>
      </w:r>
    </w:p>
    <w:p>
      <w:r>
        <w:t>- 10/11 - A/2355/2013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