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ATA/408/2005 vom 7. Juni 2005</w:t>
      </w:r>
    </w:p>
    <w:p>
      <w:r>
        <w:t>GE Cour de justice, 2005-06-07, FR</w:t>
      </w:r>
    </w:p>
    <w:p>
      <w:r>
        <w:rPr>
          <w:b/>
        </w:rPr>
        <w:t xml:space="preserve">Quelle: </w:t>
      </w:r>
      <w:r>
        <w:t>https://mcp.opencaselaw.ch/entscheid/ge_gerichte_ATA_408_2005</w:t>
      </w:r>
    </w:p>
    <w:p>
      <w:r>
        <w:t>FR: GE_GERICHTE ATA/408/2005 du 7 juin 2005</w:t>
      </w:r>
    </w:p>
    <w:p>
      <w:r>
        <w:t>IT: GE_GERICHTE ATA/408/2005 del 7 giugno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a. Les faits litigieux se sont déroulés avant l’entrée en vigueur, le 1er janvier 2001, de la loi sur l’imposition des personnes physiques du 22 septembre 2000 (LIPP-I – D 3 11).</w:t>
      </w:r>
    </w:p>
    <w:p>
      <w:r>
        <w:t>b. En vertu du principe de non-rétroactivité des lois, le nouveau droit ne s’applique aux faits antérieurs à son entrée en vigueur qu’à des conditions restrictives, lorsque la rétroactivité prévue par la loi est limitée dans le temps, ne</w:t>
      </w:r>
    </w:p>
    <w:p>
      <w:r>
        <w:t>- 6/11 - A/1316/2004 conduit pas à des inégalités choquantes, est motivée par des intérêts publics pertinents et ne porte pas atteinte à des droits acquis (P. MOOR, Droit administratif, Vol. I, Berne 1988, p. 144 ; B. KNAPP, Précis de droit administratif, 4e éd., Bâle 1991, p. 116).</w:t>
      </w:r>
    </w:p>
    <w:p>
      <w:r>
        <w:t>c. En l’espèce, la LIPP-I ne prévoit aucun effet rétroactif, si bien que le présent litige doit être tranché au regard des dispositions applicables au moment des faits, soit l’ancienne loi générale sur les contributions publiques du 9 novembre 1887 (aLCP – D 3 05).</w:t>
      </w:r>
    </w:p>
    <w:p>
      <w:r>
        <w:rPr>
          <w:b/>
        </w:rPr>
        <w:t>E. 3</w:t>
      </w:r>
    </w:p>
    <w:p>
      <w:r>
        <w:t>a. La loi de procédure fiscale, du 4 octobre 2001 (LPFisc – D 3 17), entrée en vigueur le 1er janvier 2002 prévoit expressément en son article 86 que les règles de procédure s'appliquent dès l'entrée en vigueur de cette loi aux causes encore pendantes. Cette disposition n'est que la concrétisation du principe général qui prévaut en procédure, selon lequel, sauf règle expresse contraire, les nouvelles règles régissant la procédure devant l'autorité saisie s'appliquent à toutes les affaires pendantes, que les faits à établir soient postérieurs ou antérieurs à la nouvelle loi (P. MOOR, Droit administratif, Berne 2002, tome 1 p. 171, 2.5.2). Il s'ensuit qu'en matière de procédure, c'est la LPFisc qui est applicable à la présente cause.</w:t>
      </w:r>
    </w:p>
    <w:p>
      <w:r>
        <w:t>b. Aux termes de l’article 50 alinéa 2 LPFisc, la CCRMI a les mêmes compétences dans la procédure de recours que le département dans la procédure de taxation. Il s’ensuit qu’elle peut reprendre l’intégralité du dossier et se prononcer avec pleine cognition sur tous les éléments de celui-ci, ainsi que l’amende (ATA/493/2003 du 17 juin 2003 ; ATA/128/2003 du 11 mars 2003).</w:t>
      </w:r>
    </w:p>
    <w:p>
      <w:r>
        <w:t>c. Selon l’article 51 alinéa 1 LPFisc, la CCRMI peut à nouveau déterminer tous les éléments imposables et, après avoir entendu le contribuable, elle peut également modifier la taxation au désavantage de ce dernier. Elle dispose ainsi d’un plein pouvoir de décision, n’étant pas liée par les conclusions des parties et le recours devant elle a un effet dévolutif complet (P. MOOR, op. cit., tome 2 p. 686 ss). Contrairement à ce que soutient le recourant, il ne s’agit pas là d’une règle du droit matériel mais bien d’une norme procédurale définissant l’étendue de la compétence décisionnelle de l’autorité de recours.</w:t>
      </w:r>
    </w:p>
    <w:p>
      <w:r>
        <w:rPr>
          <w:b/>
        </w:rPr>
        <w:t>E. 4</w:t>
      </w:r>
    </w:p>
    <w:p>
      <w:r>
        <w:t>a. Selon l’article 17 alinéa 1 aLCP, l’impôt est perçu sur la base du revenu réalisé par le contribuable pendant l’année qui précède celle au cours de laquelle l’impôt est dû. L’article 17 alinéa 4 aLCP prévoit que pour les contribuables qui tiennent une comptabilité régulière et qui n’arrêtent pas leurs comptes avec l’année civile, le revenu est taxé sur la base du dernier exercice précédant l’année dans laquelle l’impôt est exigible. Est ici visée la situation particulière du contribuable tenant une comptabilité ne coïncidant pas avec l’année civile, mais néanmoins établie sur douze mois. Dans ce cas, la taxation sera fondée sur les résultats apparaissant dans le dernier exercice précédant l’année dans laquelle l’impôt est exigible et ce, sans procéder à une annualisation des revenus (ATA M. du 17 juin 1987).</w:t>
      </w:r>
    </w:p>
    <w:p>
      <w:r>
        <w:t>- 7/11 - A/1316/2004</w:t>
      </w:r>
    </w:p>
    <w:p>
      <w:r>
        <w:t>b. La doctrine et la jurisprudence ont admis de longue date que la période de calcul, pour les assujettis tenant une comptabilité commerciale, correspondait avec l’exercice précédant l’année de taxation, que cet exercice ait plus ou moins de douze mois. L’autorité fiscale prendra alors en considération l’ensemble de l’exercice sans procéder à une annualisation (ATA M. du 17 juin 1987 et les références citées ; ATA M. du 19 août 1988).</w:t>
      </w:r>
    </w:p>
    <w:p>
      <w:r>
        <w:t>c. Le recourant allègue l’existence d’une pratique d’annualisation de l’AFC en matière d’ICC. Il n’a toutefois pu citer un seul cas établi, se bornant à mentionner une assurance orale à son égard, non démontrée, d’un collaborateur de l’AFC demeuré inconnu.</w:t>
      </w:r>
    </w:p>
    <w:p>
      <w:r>
        <w:t>Au vu de ce qui précède, force est de constater que l’AFC a estimé à juste titre que le bénéfice de l’étude du recourant pour l’exercice du 1er juillet 1995 au 31 décembre 1996 ne devait pas être annualisé mais être entièrement pris en compte dans la taxation 1997.</w:t>
      </w:r>
    </w:p>
    <w:p>
      <w:r>
        <w:rPr>
          <w:b/>
        </w:rPr>
        <w:t>E. 5</w:t>
      </w:r>
    </w:p>
    <w:p>
      <w:r>
        <w:t>a. Par le biais de la procédure de vérification ou de contrôle, l'AFC est en mesure de procéder à un rappel d'impôt au sens de l'article 340 LCP, pour autant que la déclaration du contribuable soit inexacte ou incomplète et que de ce fait la taxation ait été inférieure à celle qui aurait était fixée si la déclaration avait été exacte. Le rappel d'impôt est indépendant de toute faute du contribuable que ce soit intentionnellement ou par négligence (ATA/764/2003 du 21 octobre 2003 consid. 7a et les références citées).</w:t>
      </w:r>
    </w:p>
    <w:p>
      <w:r>
        <w:t>b. Selon la jurisprudence rendue au sujet de l'article 340 aLCP, le rappel d'impôt est réservé aux cas où l'insuffisance de l'impôt est due à la manière dont la déclaration a été établie par le contribuable et non lorsque cette insuffisance provient d'une autre cause, comme une erreur de l'AFC (ATA S. du 6 février 1991). Dans un arrêt du 9 juin 1992, confirmant l'ATA précité, le Tribunal fédéral a toutefois précisé que : "Le contribuable qui donne des renseignements inexacts ou incomplets sur sa situation ne saurait se libérer de sa responsabilité en arguant que l'autorité aurait dû élucider le cas, car il doit compter avec la possibilité que l'autorité se fonde de bonne foi sur les indications qu'il a données sans les examiner plus profondément. Seul est réservé le cas où l'autorité connaissait ou aurait dû connaître le défaut de renseignements du contribuable et qu'elle n'en a pas tenu compte par négligence" (Arrêt du Tribunal fédéral 2P.208/1991 du 9 juin 1992 consid. 3b cité in ATA/764/2003 consid. 7c et les références citées).</w:t>
      </w:r>
    </w:p>
    <w:p>
      <w:r>
        <w:t>c. De même, s'agissant du caractère inexact et/ou incomplet d'une déclaration, la doctrine estime que, d'une part, l'autorité est en droit de se fonder sur la déclaration du contribuable qui est garant de son exactitude et de son caractère exhaustif et, d'autre part, que le grand nombre de décisions à rendre rend illusoire une vérification de toutes les indications du contribuable (H. CASANOVA, Le rappel d’impôt in RDAF 1999 II p. 11).</w:t>
      </w:r>
    </w:p>
    <w:p>
      <w:r>
        <w:t>- 8/11 - A/1316/2004</w:t>
      </w:r>
    </w:p>
    <w:p>
      <w:r>
        <w:t>Dans le cas d’espèce, il ne ressort pas des éléments du dossier que l’AFC ait été en mesure de se rendre compte avant la procédure de vérification, qu’un tiers du bénéfice de l’activité lucrative du recourant lui avait été celé dans sa déclaration ICC 1997. Ce dernier n’a en particulier pas été à même de démontrer avoir joint à cette dernière un quelconque document portant mention de l’annualisation du résultat de l’exercice ayant couru du 1er juillet 1995 au 31 juillet 1996 et permettant de comprendre que la pièce jointe intitulée « revenus professionnels pour la déclaration 1997 » ne couvrait pas l’entier de l’exercice. Quant à l’argument tiré de la comparaison avec la déclaration ICC 1998, elle n’est pas pertinente, la question n’était pas de savoir si l’AFC savait que l’exercice déclaré en 1997 comptait 18 mois – ce qui ressort de la déclaration ICC 1997 elle-même ; mais si elle pouvait se rendre compte que seuls les deux tiers du résultat de l’exercice lui avaient été annoncés.</w:t>
      </w:r>
    </w:p>
    <w:p>
      <w:r>
        <w:t>Aucune négligence ne peut ainsi être reprochée à l’AFC et le rappel d’impôts s’avère justifié.</w:t>
      </w:r>
    </w:p>
    <w:p>
      <w:r>
        <w:rPr>
          <w:b/>
        </w:rPr>
        <w:t>E. 6</w:t>
      </w:r>
    </w:p>
    <w:p>
      <w:r>
        <w:t>a. L'article 84 LPFisc prévoit que les sanctions pénales afférentes à des infractions réalisées avant l'entrée en vigueur de la présente loi sont prononcées conformément à l'ancien droit, dans la mesure où le nouveau droit n'est pas plus favorable.</w:t>
      </w:r>
    </w:p>
    <w:p>
      <w:r>
        <w:t>b. L'article 333 aLCP, en vigueur jusqu'au 31 décembre 2001, instituait une procédure de vérification qui pouvait conduire, en cas de déclaration inexacte ou incomplète de la part du contribuable, à une amende fiscale. Celle-ci pouvait s'élever au plus en cas de négligence au double du montant de l'impôt éludé (art. 340 al. 3 aLCP) ou, en cas de fraude intentionnelle, au plus à dix fois le montant de l'impôt éludé (art. 341 al. 2 aLCP).</w:t>
      </w:r>
    </w:p>
    <w:p>
      <w:r>
        <w:t>c. Depuis le 1er janvier 2002, ces articles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w:t>
      </w:r>
    </w:p>
    <w:p>
      <w:r>
        <w:t>d.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aLPC).</w:t>
      </w:r>
    </w:p>
    <w:p>
      <w:r>
        <w:rPr>
          <w:b/>
        </w:rPr>
        <w:t>E. 7</w:t>
      </w:r>
    </w:p>
    <w:p>
      <w:r>
        <w:t>Le mandataire du recourant ne peut prétendre dissocier sa responsabilité de celle de son mandant ; de jurisprudence constante une partie est responsable des actes de son mandataire si bien qu’elle répond de toute faute de ses auxiliaires (ATF 114 Ib 62 ; 114 II 181 ; 107 Ib 169).</w:t>
      </w:r>
    </w:p>
    <w:p>
      <w:r>
        <w:t>- 9/11 - A/1316/2004</w:t>
      </w:r>
    </w:p>
    <w:p>
      <w:r>
        <w:rPr>
          <w:b/>
        </w:rPr>
        <w:t>E. 8</w:t>
      </w:r>
    </w:p>
    <w:p>
      <w:r>
        <w:t>a.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informations qu'il sait incorrectes ou incomplètes (ATF 2A.351/2002 du 5 novembre 2002 ; ATA/828/2003 du 11 novembre 2003).</w:t>
      </w:r>
    </w:p>
    <w:p>
      <w:r>
        <w:t>b.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w:t>
      </w:r>
    </w:p>
    <w:p>
      <w:r>
        <w:t>En l’espèce, il se justifie de retenir que le recourant a agi par négligence : alors que – juriste de formation et représenté par une fiduciaire – il a choisi de rallonger de six mois un exercice comptable afin de modifier la période des futurs exercices, il n’a non seulement pas examiné de manière professionnelle les implications fiscales de cette transition mais, de surcroît, n’a pas transmis à l’AFC les pièces qui lui auraient permis de constater qu’il avait annualisé le résultat de l’exercice en cause. Au vu de l’ensemble des circonstances, sa négligence doit être qualifiée de grave.</w:t>
      </w:r>
    </w:p>
    <w:p>
      <w:r>
        <w:t>Si la bonne collaboration du contribuable pendant la procédure de vérification est établie, force est de retenir, avec la CCRMI, que cette dernière n’a pas découlé d’une démarche spontanée comme l’avait admis à tort l’AFC. L’autorité intimée était dès lors fondée à revoir la quotité de l’amende infligée, au détriment cas échéant, du contribuable ainsi qu’on l’a vu précédemment, la procédure à cet égard ayant été respectée.</w:t>
      </w:r>
    </w:p>
    <w:p>
      <w:r>
        <w:rPr>
          <w:b/>
        </w:rPr>
        <w:t>E. 9</w:t>
      </w:r>
    </w:p>
    <w:p>
      <w:r>
        <w:t>Tant sur le plan fédéral que sur le plan cantonal, les montants retenus pour l’amende correspondent à deux fois l’impôt soustrait. Reste à déterminer si la quotité de l’amende est justifiée.</w:t>
      </w:r>
    </w:p>
    <w:p>
      <w:r>
        <w:t>- 10/11 - A/1316/2004</w:t>
      </w:r>
    </w:p>
    <w:p>
      <w:r>
        <w:t>a.</w:t>
      </w:r>
    </w:p>
    <w:p>
      <w:r>
        <w:t>Les amendes administratives sont de nature pénale, car aucun critère ne permet de les distinguer clairement des amendes ordinaires pour lesquelles la compétence administrative de première instance peut au demeurant exister. C'est dire que la quotité de la peine administrative doit être fixée en tenant compte des principes généraux régissant le droit pénal (ATA/632/2001 du 9 octobre 2001 et références citées). En vertu de l'article 1 alinéa 2 de la loi pénale genevoise du 20 septembre 1941 (LPG - E 4 05), il y a lieu de faire application des dispositions générales contenues dans le Code pénal suisse du 21 décembre 1937 (CP - RS 311.O), sous réserve des exceptions prévues par le législateur cantonal à l'article 24 LPG.</w:t>
      </w:r>
    </w:p>
    <w:p>
      <w:r>
        <w:t>b.</w:t>
      </w:r>
    </w:p>
    <w:p>
      <w:r>
        <w:t>Selon des principes qui n'ont pas été remis en cause, l'administration doit faire preuve de sévérité afin d'assurer le respect de la loi (ATA/736/2003 du 7 octobre 2003 ; A. GRISEL, Traité de droit administratif, vol. 2, 1984, p. 646-648; ATA G. du 20 septembre 1994) et jouit d'un large pouvoir d'appréciation pour infliger une amende (ATA/736/2003) du 7 octobre 2003 précité; ATA C. et H. du 27 avril 1999; ATA G. du 20 septembre 1994; ATA C. du 8 septembre 1992). La juridiction de céans ne la censure qu'en cas d'excès (ATA/518/2004 du 8 juin 2004; ATA U. du 18 février 1997). Enfin l'amende doit respecter le principe de la proportionnalité (ATA/518/2004 du 8 juin 2004; ATA P. du 5 août 1997).</w:t>
      </w:r>
    </w:p>
    <w:p>
      <w:r>
        <w:t>c.</w:t>
      </w:r>
    </w:p>
    <w:p>
      <w:r>
        <w:t>L'autorité qui prononce une mesure administrative ayant le caractère d'une sanction doit faire application des règles contenues à l'article 63 CP. En ce sens, le juge fixera la peine d'après la culpabilité du délinquant, en tenant compte des mobiles, des antécédents et de la situation personnelle de ce dernier. Parmi ces circonstances intervient le comportement après la commission de l'infraction et au cours de la procédure (C. FAVRE, M. PELLET; P. STOUDMANN, Code pénal annoté 2e édition, Lausanne, 2004 ad. art. 63 ch. 1.8 p. 204).</w:t>
      </w:r>
    </w:p>
    <w:p>
      <w:r>
        <w:t>In casu, le Tribunal administratif estime qu’une amende fixée au trois quarts de l’impôt soustrait tient raisonnablement compte de la faute du contribuable, de sa situation personnelle, de son comportement en cours de procédure de vérification et du montant soustrait. Cette quotité doit ainsi être confirmée.</w:t>
      </w:r>
    </w:p>
    <w:p>
      <w:r>
        <w:rPr>
          <w:b/>
        </w:rPr>
        <w:t>E. 10</w:t>
      </w:r>
    </w:p>
    <w:p>
      <w:r>
        <w:t>Entièrement mal fondé, le recours sera rejeté. Un émolument de CHF 2'500.- sera mis à la charge du recourant.</w:t>
      </w:r>
    </w:p>
    <w:p>
      <w:r>
        <w:t>* * * * *</w:t>
      </w:r>
    </w:p>
    <w:p>
      <w:r>
        <w:t>- 11/11 - A/1316/2004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