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ATA/407/2020 vom 30. April 2020</w:t>
      </w:r>
    </w:p>
    <w:p>
      <w:r>
        <w:t>GE Cour de justice, 2020-04-30, FR</w:t>
      </w:r>
    </w:p>
    <w:p>
      <w:r>
        <w:rPr>
          <w:b/>
        </w:rPr>
        <w:t xml:space="preserve">Quelle: </w:t>
      </w:r>
      <w:r>
        <w:t>https://mcp.opencaselaw.ch/entscheid/ge_gerichte_ATA_407_2020</w:t>
      </w:r>
    </w:p>
    <w:p>
      <w:r>
        <w:t>FR: GE_GERICHTE ATA/407/2020 du 30 avril 2020</w:t>
      </w:r>
    </w:p>
    <w:p>
      <w:r>
        <w:t>IT: GE_GERICHTE ATA/407/2020 del 30 aprile 2020</w:t>
      </w:r>
    </w:p>
    <w:p>
      <w:pPr>
        <w:pStyle w:val="Heading2"/>
      </w:pPr>
      <w:r>
        <w:t>Erwägungen</w:t>
      </w:r>
    </w:p>
    <w:p>
      <w:r>
        <w:rPr>
          <w:b/>
        </w:rPr>
        <w:t>E. 12</w:t>
      </w:r>
    </w:p>
    <w:p>
      <w:r>
        <w:t>septembre 1985 - LPA - E 5 10). 2)</w:t>
      </w:r>
    </w:p>
    <w:p>
      <w:r>
        <w:t>Le recours porte sur la conformité au droit du jugement du TAPI confirmant la décision du 11 décembre 2018 de l'intimé en ce qu’elle ordonne la remise en l’état autorisé initialement du bâtiment 2______, et qu’elle inflige aux recourants une amende administrative de CHF 16'000.- en raison du non-respect de l'ordre de remise en état d'origine de la partie droite de la parcelle concernée. 3)</w:t>
      </w:r>
    </w:p>
    <w:p>
      <w:r>
        <w:t>Aucune construction ou installation ne peut être créée ou transformée sans autorisation de l'autorité compétente (art. 22 al. 1 de la loi fédérale sur l'aménagement du territoire du 22 juin 1979 - LAT - RS 700).</w:t>
      </w:r>
    </w:p>
    <w:p>
      <w:r>
        <w:t>Selon l'art. 1 al. 1 de la loi sur les constructions et les installations diverses du 14 avril 1988 (LCI - L 5 05), sur tout le territoire du canton nul ne peut, sans y avoir été autorisé, notamment élever en tout ou partie une construction ou une installation, notamment un bâtiment locatif, industriel ou agricole, une villa, un</w:t>
      </w:r>
    </w:p>
    <w:p>
      <w:r>
        <w:t>- 6/10 - A/157/2019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(art. 129 let. a et 130 LCI).</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4) a. L'art. 20 de la loi d’application de la loi fédérale sur l’aménagement du territoire du 4 juin 1987 (LaLAT - L 1 30) prévoit que la zone agricole est destinée à l'exploitation agricole ou horticole. Seules les constructions destinées durablement à ces activités et aux personnes l'exerçant à titre principal, respectant la nature et le paysage et conforme aux exigences des art. 34 ss de l'ordonnance sur l'aménagement du territoire du 28 juin 2000 (OAT - RS 700.1) y sont autorisées.</w:t>
      </w:r>
    </w:p>
    <w:p>
      <w:r>
        <w:t>b. En l’espèce, la construction du bâtiment 2______ avait initialement été autorisée à des fins agricoles. Il en était de même de l’aire à fumier couverte.</w:t>
      </w:r>
    </w:p>
    <w:p>
      <w:r>
        <w:t>Les changements d’affectation et les travaux subséquents ont tous été réalisés sans autorisation de construire. Ceux réalisés après 2006, l’ont été malgré les nombreuses interventions de l’autorité.</w:t>
      </w:r>
    </w:p>
    <w:p>
      <w:r>
        <w:t>De plus, l’ordre de remise en état respecte le principe de la proportionnalité, dès lors qu’il tient compte de la prescription trentenaire acquise pour le bâtiment numéro 3______ et qu’il ouvre la porte à une tentative de régularisation de l’affectation de l’aire à fumier couverte.</w:t>
      </w:r>
    </w:p>
    <w:p>
      <w:r>
        <w:t>En conséquence, le recours sera rejeté en ce qu’il remet en cause l’ordre de remise en état. 5)</w:t>
      </w:r>
    </w:p>
    <w:p>
      <w:r>
        <w:t>Les recourants évoquent une violation du principe de l'égalité de traitement.</w:t>
      </w:r>
    </w:p>
    <w:p>
      <w:r>
        <w:t>a. Une décision ou un arrêté viole le principe de l'égalité de traitement garanti par l'art. 8 de la Constitution fédérale de la Confédération suisse du 18 avril 1999</w:t>
      </w:r>
    </w:p>
    <w:p>
      <w:r>
        <w:t>- 7/10 - A/157/2019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 ; Andreas AUER/Giorgio MALINVERNI/Michel HOTTELIER, Droit constitutionnel suisse, vol. 2, 3ème éd., 2013, p. 500 s. n. 1074 ss). b. En l’espèce, les recourants évoquent d’une façon générale des situations similaires à la leur qui existeraient à B______ et dans le canton. Ils ne donnent toutefois pas d’exemples précis, lesquels sont pourtant indispensables pour savoir si la situation est réellement similaire, cas échéant si l’autorité tolère effectivement la situation ou si, comme en l’espèce, elle essaye depuis des années d’obtenir le rétablissement d’une situation conforme au droit.</w:t>
      </w:r>
    </w:p>
    <w:p>
      <w:r>
        <w:t>Partant, ce grief sera écarté. 6)</w:t>
      </w:r>
    </w:p>
    <w:p>
      <w:r>
        <w:t>S’agissant de la tolérance auxquelles les recourants concluent, il ne pourrait s’agir que d’un maintien à titre précaire au sens de l’art. 139 LCI. Un tel maintien suppose une requête et une décision du Conseil d’État, absente en l’espèce. (ATA/945/2018 du 19 septembre 2018).</w:t>
      </w:r>
    </w:p>
    <w:p>
      <w:r>
        <w:t>- 8/10 - A/157/2019 7)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- 9/10 - A/157/2019</w:t>
      </w:r>
    </w:p>
    <w:p>
      <w:r>
        <w:t>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 ATA/19/2018 du 9 janvier 2018 confirmé par arrêt du Tribunal fédéral 1C_80/2018 du 23 mai 2019 ; ATA/558/2013 du 27 août 2013).</w:t>
      </w:r>
    </w:p>
    <w:p>
      <w:r>
        <w:t>e. En l’espèce, il ressort de la procédure que les recourants se sont déjà vu infliger deux amendes en lien avec la parcelle concernée par la présente procédure. Ils se sont aussi vu infliger une amende, dans le cas de leur participation à une communauté héréditaire, suite à des travaux effectués sans autorisation.</w:t>
      </w:r>
    </w:p>
    <w:p>
      <w:r>
        <w:t>S’il faut admettre que, selon leurs indications, le montant de leur rente de retraite est faible, il y a aussi lieu de relever que, selon les informations qu’ils ont données au département, la location des bâtiments affectés sans droit à des activités autres que l’agriculture leur a rapporté plus de CHF 50'000.- par année. Au surplus, il ne donne pas d’indication sur la fortune dont ils disposent.</w:t>
      </w:r>
    </w:p>
    <w:p>
      <w:r>
        <w:t>Le montant de l’amende infligée ascende à un peu plus de 10 % du montant maximum possible et reste, au vu des récidives des recourants et des revenus qu’ils ont tirés de leur infraction, admissible. 8)</w:t>
      </w:r>
    </w:p>
    <w:p>
      <w:r>
        <w:t>En conséquence, le recours, en tous points mal fondés, sera rejeté.</w:t>
      </w:r>
    </w:p>
    <w:p>
      <w:r>
        <w:t>Vu l’issue du recours, un émolument de CHF 1’500.-, sera mis à la charge des recourants, pris conjointement et solidairement, qui succombent. Il ne sera pas alloué d’indemnité de procédure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