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ATA/406/2015 vom 30. April 2015</w:t>
      </w:r>
    </w:p>
    <w:p>
      <w:r>
        <w:t>GE Cour de justice, 2015-04-30, FR</w:t>
      </w:r>
    </w:p>
    <w:p>
      <w:r>
        <w:rPr>
          <w:b/>
        </w:rPr>
        <w:t xml:space="preserve">Quelle: </w:t>
      </w:r>
      <w:r>
        <w:t>https://mcp.opencaselaw.ch/entscheid/ge_gerichte_ATA_406_2015</w:t>
      </w:r>
    </w:p>
    <w:p>
      <w:r>
        <w:t>FR: GE_GERICHTE ATA/406/2015 du 30 avril 2015</w:t>
      </w:r>
    </w:p>
    <w:p>
      <w:r>
        <w:t>IT: GE_GERICHTE ATA/406/2015 del 30 aprile 2015</w:t>
      </w:r>
    </w:p>
    <w:p>
      <w:pPr>
        <w:pStyle w:val="Heading2"/>
      </w:pPr>
      <w:r>
        <w:t>Erwägungen</w:t>
      </w:r>
    </w:p>
    <w:p>
      <w:r>
        <w:rPr>
          <w:b/>
        </w:rPr>
        <w:t>E. 12</w:t>
      </w:r>
    </w:p>
    <w:p>
      <w:r>
        <w:t>septembre 1985 (LPA - E 5 10). 2)</w:t>
      </w:r>
    </w:p>
    <w:p>
      <w:r>
        <w:t>La compétence pour ordonner, d’office ou sur requête, des mesures provisionnelles - telle que la restitution de l’effet suspensif - en lien avec un recours appartient au président, respectivement au vice-président, de la chambre administrative (art. 7 ch. 1 du règlement interne de la chambre administrative du 21 décembre 2010).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4)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w:t>
      </w:r>
    </w:p>
    <w:p>
      <w:r>
        <w:rPr>
          <w:b/>
        </w:rPr>
        <w:t>E. 14</w:t>
      </w:r>
    </w:p>
    <w:p>
      <w:r>
        <w:t>mai 2014 consid. 4 ; ATA/87/2013 du 18 février 2013 ;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w:t>
      </w:r>
    </w:p>
    <w:p>
      <w:r>
        <w:t>- 4/5 - A/998/2015 5 février 2014 consid. 4b ; ATA/603/2011 du 23 septembre 2011 consid. 2 ; ATA/280/2009 du 11 juin 2009 et ATA/278/2009 du 4 juin 2009). 5)</w:t>
      </w:r>
    </w:p>
    <w:p>
      <w:r>
        <w:t>En l'espèce, la décision attaquée a un contenu négatif en ce qu’elle refuse de récuser M. C______. Toutefois, l’intérêt public à l’exécution immédiate de la décision rejetant cette demande de récusation doit être relativisé, dans la mesure où, dans le cadre de l’organisation d’un état-major du département, la réalisation d’une tâche précise ne peut être liée à la présence d’une et d’une seule personne, tout fonctionnaire devant, si nécessaire, pouvoir être remplacé par un collègue.</w:t>
      </w:r>
    </w:p>
    <w:p>
      <w:r>
        <w:t>De plus, la procédure initiée par M. C______ vise à permettre à la recourante d’exercer son droit d’être entendue avant l’éventuel prononcé de sanction, lesquelles ne pourront être exécutées que lorsqu’elles seront définitives et exécutoires.</w:t>
      </w:r>
    </w:p>
    <w:p>
      <w:r>
        <w:t>Au vu de cet élément aussi, l’urgence à ce que la sanction soit prononcée apparaît limitée.</w:t>
      </w:r>
    </w:p>
    <w:p>
      <w:r>
        <w:t>Au surplus, le fait d’ordonner des sanctions alors qu’une procédure de récusation est en cours peut poser de sérieux problèmes, dans la mesure où l’admission du recours - entraînant la récusation du fonctionnaire en question - rendrait nulles les décisions qu’il aurait signées, ce qui ne serait manifestement pas favorable à un traitement rapide de l’affaire.</w:t>
      </w:r>
    </w:p>
    <w:p>
      <w:r>
        <w:t>Dans ces circonstances, il apparait que la demande de restitution de l’effet suspensif, traitée en tant que demande de mesures provisionnelles, doit être admise. M. C______ devra en conséquence s’abstenir, jusqu’à ce que la chambre administrative ait tranché le recours concernant sa récusation, de traiter la procédure ouverte contre Mme A______ suite au rapport de police du 4 février 2015. 6)</w:t>
      </w:r>
    </w:p>
    <w:p>
      <w:r>
        <w:t>Le sort des frais sera réservé jusqu’à droit jugé au fond.</w:t>
      </w:r>
    </w:p>
    <w:p>
      <w:r>
        <w:t>vu l’art. 66 al. 3 de la loi sur la procédure administrative du 12 septembre 1985 ;</w:t>
      </w:r>
    </w:p>
    <w:p>
      <w:r>
        <w:t>vu l’art. 7 al. 1 du règlement de la chambre administrative du 21 décembre 2010 ;</w:t>
      </w:r>
    </w:p>
    <w:p>
      <w:r>
        <w:t>LA CHAMBRE ADMINISTRATIVE admet la demande de mesure provisionnelle au sens des considérants ; réserve le sort des frais de la procédure jusqu’à droit jugé au fond ;</w:t>
      </w:r>
    </w:p>
    <w:p>
      <w:r>
        <w:t>- 5/5 - A/998/2015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Dimitri TZORTZIS, avocat de la recourante, ainsi qu'au département de la sécurité et de l'économie.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