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ATA/402/2020 vom 30. April 2020</w:t>
      </w:r>
    </w:p>
    <w:p>
      <w:r>
        <w:t>GE Cour de justice, 2020-04-30, FR</w:t>
      </w:r>
    </w:p>
    <w:p>
      <w:r>
        <w:rPr>
          <w:b/>
        </w:rPr>
        <w:t xml:space="preserve">Quelle: </w:t>
      </w:r>
      <w:r>
        <w:t>https://mcp.opencaselaw.ch/entscheid/ge_gerichte_ATA_402_2020</w:t>
      </w:r>
    </w:p>
    <w:p>
      <w:r>
        <w:t>FR: GE_GERICHTE ATA/402/2020 du 30 avril 2020</w:t>
      </w:r>
    </w:p>
    <w:p>
      <w:r>
        <w:t>IT: GE_GERICHTE ATA/402/2020 del 30 aprile 2020</w:t>
      </w:r>
    </w:p>
    <w:p>
      <w:pPr>
        <w:pStyle w:val="Heading2"/>
      </w:pPr>
      <w:r>
        <w:t>Erwägungen</w:t>
      </w:r>
    </w:p>
    <w:p>
      <w:r>
        <w:rPr>
          <w:b/>
        </w:rPr>
        <w:t>E. 12</w:t>
      </w:r>
    </w:p>
    <w:p>
      <w:r>
        <w:t>septembre 1985 (LPA - E 5 10), la chambre administrative ordonne l'appel en cause de Monsieur B______ dans la procédure citée en marge.</w:t>
      </w:r>
    </w:p>
    <w:p>
      <w:r>
        <w:t>que Monsieur B______ pourra alors exercer ses droits de partie au sens de l’art. 71 al. 2 LPA ;</w:t>
      </w:r>
    </w:p>
    <w:p>
      <w:r>
        <w:t>LA CHAMBRE ADMINISTRATIVE ordonne l’appel en cause de Monsieur B______ ; impartit un délai au 5 juin 2020 à la commission du barreau ainsi qu’à Monsieur B______ pour répondre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commission du barreau, ainsi qu’à Monsieur B______, appelé en cause. Siégeant : Mme Krauskopf, présidente, MM. Verniory et Mascotto, juges.</w:t>
      </w:r>
    </w:p>
    <w:p>
      <w:r>
        <w:t>- 3/3 - A/1172/2020 Au nom de la chambre administrative : la greffière :</w:t>
      </w:r>
    </w:p>
    <w:p>
      <w:r>
        <w:t>Ch Ravier</w:t>
      </w:r>
    </w:p>
    <w:p>
      <w:r>
        <w:t>la président siégeant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