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ATA/39/2017 vom 17. Januar 2017</w:t>
      </w:r>
    </w:p>
    <w:p>
      <w:r>
        <w:t>GE Cour de justice, 2017-01-17, FR</w:t>
      </w:r>
    </w:p>
    <w:p>
      <w:r>
        <w:rPr>
          <w:b/>
        </w:rPr>
        <w:t xml:space="preserve">Quelle: </w:t>
      </w:r>
      <w:r>
        <w:t>https://mcp.opencaselaw.ch/entscheid/ge_gerichte_ATA_39_2017</w:t>
      </w:r>
    </w:p>
    <w:p>
      <w:r>
        <w:t>FR: GE_GERICHTE ATA/39/2017 du 17 janvier 2017</w:t>
      </w:r>
    </w:p>
    <w:p>
      <w:r>
        <w:t>IT: GE_GERICHTE ATA/39/2017 del 17 gennaio 2017</w:t>
      </w:r>
    </w:p>
    <w:p>
      <w:pPr>
        <w:pStyle w:val="Heading2"/>
      </w:pPr>
      <w:r>
        <w:t>Regeste</w:t>
      </w:r>
    </w:p>
    <w:p>
      <w:r>
        <w:t>Résumé: Changement de pratique du DALE en raison de tentatives de fraudes à la loi. Selon l'ancienne pratique, il n'y avait pas d'« aliénation » au sens de l'art. 39 al. 1 LDTR dans le cas d'opérations visant à liquider des sociétés immobilières d'actionnaires-locataires (SIAL) et à transformer les cessionnaires détenteurs de certificats d'actions en propriétaires d'unités d'étages. En l'espèce, des opérations successives, se terminant par la liquidation d'une SIAL récemment créé ont été mises sur pied afin de pouvoir artificiellement bénéficier de cette pratique. Il y a eu tentatives de fraude à la loi. Ne s'agissant pas d'un cas isolé, il existe des motifs sérieux et objectifs justifiant le changement de pratique, conforme au droit. Vu l'existence d'aliénations, les transferts de lots de PPE étaient soumis à autorisation selon l'art. 39 LDTR. Refus de délivrance des autorisations d'aliéner conformes au droit. Recours rejeté.</w:t>
      </w:r>
    </w:p>
    <w:p>
      <w:pPr>
        <w:pStyle w:val="Heading2"/>
      </w:pPr>
      <w:r>
        <w:t>Erwägungen</w:t>
      </w:r>
    </w:p>
    <w:p>
      <w:r>
        <w:rPr>
          <w:b/>
        </w:rPr>
        <w:t>E. 26</w:t>
      </w:r>
    </w:p>
    <w:p>
      <w:r>
        <w:t>septembre 2010 - LOJ - E 2 05 ; art. 62 al. 1 let. a de la loi sur la procédure administrative du 12 septembre 1985 - LPA - E 5 10).</w:t>
      </w:r>
    </w:p>
    <w:p>
      <w:r>
        <w:t>- 12/23 - A/3314/2015 2)</w:t>
      </w:r>
    </w:p>
    <w:p>
      <w:r>
        <w:t>Le recours porte sur la conformité au droit du jugement du TAPI confirmant les vingt arrêtés du DALE prononçant implicitement la soumission des actes de transfert à autorisation d’aliéner et refusant la délivrance desdites autorisations. 3)</w:t>
      </w:r>
    </w:p>
    <w:p>
      <w:r>
        <w:t>Les recourants reprochent au TAPI et au DALE d’avoir retenu que les actes de transfert étaient soumis à autorisation.</w:t>
      </w:r>
    </w:p>
    <w:p>
      <w:r>
        <w:t>a.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(art. 39 al. 1 LDTR). Pour remédier à la pénurie d’appartements locatifs dont la population a besoin, tout appartement jusqu’alors destiné à la location doit conserver son affectation locative, dans les limites du chapitre relatif aux mesures visant à lutter contre la pénurie d’appartements locatifs (art. 25 al. 1 LDTR). Il y a pénurie d’appartements lorsque le taux des logements vacants considéré par catégorie est inférieur à 2 % du parc immobilier de la même catégorie (art. 25 al. 2 LDTR). Les appartements de plus de sept pièces n’entrent pas dans une catégorie où sévit la pénurie (art. 25 al. 3 LDTR).</w:t>
      </w:r>
    </w:p>
    <w:p>
      <w:r>
        <w:t>b. Selon l’art. 11 al. 3 du règlement d’application de la LDTR du 29 avril 1996 (RDTR - L 5 20.01), par appartement jusqu’alors offert en location, au sens de l’art. 39 al. 1 LDTR, il faut entendre, soit l’appartement loué lors du dépôt de la requête en autorisation d’aliéner (let. a), l’appartement vide ou vacant lors du dépôt de la requête en autorisation d’aliéner, mais qui a précédemment été loué par son propriétaire actuel (let. b), ou l’appartement occupé, lors du dépôt de la requête en autorisation d’aliéner, par son propriétaire, si celui-ci a précédemment loué l’appartement considéré (let. c). Nonobstant la teneur de l’art. 11 al. 3 RDTR, une autorisation d’aliéner doit impérativement être requise en cas de vente d’un ou plusieurs appartement(s) acquis par voie d’adjudication (art. 11 al. 4 RDTR).</w:t>
      </w:r>
    </w:p>
    <w:p>
      <w:r>
        <w:t>c. Les catégories de logements où sévit la pénurie sont déterminées chaque année par arrêté du Conseil d’État en fonction du nombre de pièces par appartement (art. 11 al. 1 RDTR). Le Conseil d'État a constaté, en 2015, 2016 et 2017, qu'il y a pénurie, au sens des art. 25 et 39 LDTR, dans toutes les catégories des appartements d'une à sept pièces inclusivement (arrêtés du Conseil d'État déterminant les catégories de logements où sévit la pénurie en vue de l'application des art. 25 à 39 LDTR du 15 janvier 2015, 13 janvier 2016 et 13 janvier 2017 - ArAppart - L 5 20.03).</w:t>
      </w:r>
    </w:p>
    <w:p>
      <w:r>
        <w:t>d. Selon la jurisprudence de la chambre administrative, la vente d'un appartement est soumise à autorisation pour autant que ce dernier entre, du fait de son loyer ou de son type, dans une catégorie de logements où sévit la pénurie</w:t>
      </w:r>
    </w:p>
    <w:p>
      <w:r>
        <w:t>- 13/23 - A/3314/2015 (ATA/701/2016 du 23 août 2016 consid. 3d ; ATA/356/2012 du 5 juin 2012 consid. 8d et 10).</w:t>
      </w:r>
    </w:p>
    <w:p>
      <w:r>
        <w:t>e. En l’espèce, il n’est pas contesté que les appartements concernés par les actes de transfert – situés dans un immeuble d'habitation en deuxième zone de construction et donc assujettis à la LDTR (art. 2 LDTR) – entrent, par leur nombre de pièces, dans des catégories de logements où sévit la pénurie et ont été offerts à la location, de sorte que leur aliénation est en principe soumise à autorisation. 4)</w:t>
      </w:r>
    </w:p>
    <w:p>
      <w:r>
        <w:t>Les recourants font cependant grief au TAPI de n’avoir pris en compte ni la pratique de l’autorité intimée, ni l’absence d’aliénation – s’agissant de transferts de la propriété juridique aux propriétaires économiques –, éléments qui auraient tous deux dû conduire l’instance précédente à retenir que les actes de transfert n’étaient pas soumis à autorisation d’aliéner.</w:t>
      </w:r>
    </w:p>
    <w:p>
      <w:r>
        <w:t>a. La notion de pratique administrative désigne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(ATA/596/2015 du 9 juin 2015 consid. 7d ; ATA/20/2015 du 6 janvier 2015 consid. 9).</w:t>
      </w:r>
    </w:p>
    <w:p>
      <w:r>
        <w:t>Selon la jurisprudence, pour être compatible avec le principe de la bonne foi, découlant des art. 8 et 9 de la Constitution fédérale de la Confédération suisse du 18 avril 1999 (Cst. - RS 101),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mœurs. Les motifs doivent être d’autant plus sérieux que la pratique suivie jusqu’ici est ancienne. À défaut, elle doit être maintenue (ATF 135 I 79 consid. 3 ; 132 III 770 consid. 4 ; 127 I 49 consid. 3c ; 127 II 289 consid. 3a ; ATA/596/2015 du 9 juin 2015 consid. 7d ; ATA/857/2014 du 4 novembre 2014 consid. 4).</w:t>
      </w:r>
    </w:p>
    <w:p>
      <w:r>
        <w:t>Par ailleurs, pour que l’égalité de traitement soit respectée, il convient que le changement de pratique s’applique immédiatement, y compris aux affaires pendantes au moment où il intervient. Il doit s’agir d’un véritable changement de pratique et non d’une exception ponctuelle à une pratique qui reste établie (ATA/834/2016 du 4 octobre 2016 consid. 3a ; ATA/240/2013 du 16 avril 2013 consid. 2a ; Thierry TANQUEREL, Manuel de droit administratif, 2011, p. 204 n. 603 et les arrêts cités)</w:t>
      </w:r>
    </w:p>
    <w:p>
      <w:r>
        <w:t>- 14/23 - A/3314/2015</w:t>
      </w:r>
    </w:p>
    <w:p>
      <w:r>
        <w:t>b. Il y a fraude à la loi lorsqu'un justiciable évite l'application d'une norme imposant ou interdisant un certain résultat (norme éludée) par le biais d'une autre norme permettant d'aboutir à ce résultat de manière apparemment conforme au droit (norme éludante ; ATF 132 III 212 consid. 4.1 ; arrêt du Tribunal fédéral 2C_751/2014 du 23 février 2015 consid. 4.1). Pour décider s'il y a fraude à la loi, il faut interpréter la norme d'interdiction en recherchant si, selon son sens et son but, elle s'applique aussi à l'opération litigieuse, ou si cette dernière est exclue du champ d'application de la norme d'interdiction et est ainsi valable (ATF 140 II 233 consid. 5.1). Il convient d'examiner si la norme éludée entend uniquement prohiber une certaine manière de procéder, ou si elle veut interdire un résultat en soi. Dans cette seconde hypothèse, la norme éludée doit être appliquée nonobstant la construction destinée à la contourner (arrêts du Tribunal fédéral 2C_751/2014 précité consid. 4.1 ; 4A_609/2012 du 26 février 2013 consid. 3).</w:t>
      </w:r>
    </w:p>
    <w:p>
      <w:r>
        <w:t>La fraude à la loi est une forme particulière de l’abus de droit, dont l’interdiction se déduit du principe de la bonne foi (arrêt du Tribunal fédéral 2C_751/2014 précité consid. 4.1 ; ATA/487/2014 du 24 juin 2014 consid. 3). Un abus de droit doit, pour être sanctionné, apparaître manifeste (arrêts du Tribunal fédéral 2C_751/2014 précité consid. 4.1 ; 1C_874/2013 du 4 avril 2014 consid. 4.3). Il n'est pas aisé de tracer la frontière entre le choix d'une construction juridique offerte par la loi et l'abus de cette liberté, constitutif d'une fraude à la loi. Répondre à cette question implique une appréciation au cas par cas, en fonction des circonstances d'espèce (ATF 139 III 145 consid. 4.2.4 et la jurisprudence citée ; arrêts du Tribunal fédéral 2C_751/2014 précité consid. 4.1).</w:t>
      </w:r>
    </w:p>
    <w:p>
      <w:r>
        <w:t>c. Le RF donne l'état des droits sur les immeubles (art. 942 al. 1 du code civil suisse du 10 décembre 1907 - CC - RS 210). L'inscription à ce registre est nécessaire pour l'acquisition de la propriété foncière (art. 656 al. 1 CC). Le RF n'opère d'inscription au registre que sur réquisition (art. 46 al. 1 de l'ordonnance sur le RF du 23 septembre 2011 - ORF - RS 211.432.1). En cas de vente, cette réquisition est déposée par le vendeur (art. 83 al. 2 let. c et 84 al. 1 ORF) ou par le notaire qui a reçu les actes (art. 963 al. 3 CC et 158 al. 1 de la loi d'application du CC et d’autres lois fédérales en matière civile du 28 novembre 2010 - LaCC - E 1 05). Lorsqu’une telle réquisition d’inscription parvient au RF, elle est portée au journal (art. 81 al. 1 let. a ORF). Lors de son traitement, le RF vérifie que les conditions légales d’une inscription au grand livre sont réunies (art. 83 al. 1 ORF). Il vérifie notamment que les autorisations nécessaires ont été produites (art. 83 al. 2 let. i ORF). L’admission de la réquisition se fait par l’inscription au grand livre (art. 89 al. 1 ORF). Lorsque les conditions de l'inscription au grand livre ne sont pas remplies, le RF rejette la requête (art. 87 al. 1 ORF). Le rejet de la réquisition fait l’objet d’une décision formelle motivée, qui est notifiée aux intéressés (art. 87 al. 3 ORF).</w:t>
      </w:r>
    </w:p>
    <w:p>
      <w:r>
        <w:t>- 15/23 - A/3314/2015</w:t>
      </w:r>
    </w:p>
    <w:p>
      <w:r>
        <w:t>d. Selon l'art. 12 al. 1 RDTR, c'est le vendeur qui a l’obligation de solliciter auprès du DALE l’autorisation d’aliéner, cas échéant représenté par son notaire. Les agents immobiliers, les notaires ou autres mandataires professionnels, dont le concours est sollicité en vue de la passation d’un acte de vente d’un appartement jusqu’alors offert en location, ont l’obligation de s’assurer préalablement de la délivrance par le DALE de ladite autorisation (art. 16 RDTR). Le conservateur du RF écarte toute réquisition d’inscription d’une aliénation d’une part de copropriété par étages portant sur un appartement qui n’est pas assortie d’une autorisation du DALE au sens de l’art. 39 LDTR lorsque celle-ci est nécessaire (art. 17 al. 2 RDTR). 5)</w:t>
      </w:r>
    </w:p>
    <w:p>
      <w:r>
        <w:t>Dans la cause A/115/2013, dans laquelle l’Association genevoise des locataires (ci-après : ASLOCA) alléguait une fraude à la loi en relation avec la pratique de l’autorité intimée quant à la liquidation d’une SIAL avec transfert des lots de PPE aux actionnaires-locataires, le DALE avait rappelé que la SIAL était une forme de société immobilière qui, à l’instar des coopératives de locataires, s’était constituée à une époque où la PPE n’était pas admise en droit suisse pour mettre des logements à disposition de leurs membres (ATA/947/2014 du 2 décembre 2014 consid. 12 en fait ; Guy FLATTET, Les sociétés immobilières d’actionnaires-locataires, JdT 1949 I 610 ; Peter FORSTMOSER/Arthur MEIER- HAYOZ, Einführung in das schweizerische Aktienrecht, 3ème éd., 1983, n. 45 p. 314). Cette forme de société s’était développée, spécialement en Suisse romande, après la deuxième guerre mondiale et jusqu’en 1965, date de l’introduction dans le CC du régime de la PPE. Postérieurement à cette date, nombre d’immeubles avaient encore été construits et exploités sous cette forme. Le DALE avait dans le cas d’espèce indiqué avoir la volonté de maintenir sa pratique, la société en cause ayant été constituée sous forme de SIAL sous l’ancien droit (ATA/947/2014 précité consid. 12 en fait). La chambre administrative avait dans ce cas renvoyé la cause au DALE pour qu’il examine l’applicabilité de l’art. 39 LDTR et constate s’il existait ou non une fraude à loi (ATA/947/2014 précité consid. 17). Elle avait par ailleurs fait de même dans un deuxième arrêt du même jour, affaire dans le cadre de laquelle le DALE n’avait cependant pas formulé d’observations (ATA/948/2014 du 2 décembre 2014 consid. 17). 6)</w:t>
      </w:r>
    </w:p>
    <w:p>
      <w:r>
        <w:t>En l’espèce, la pratique instaurée depuis 1995 et dont la suspension a été annoncée en avril 2014 n’est pas contestée par l’autorité intimée. La chambre administrative a au demeurant déjà été amenée à constater l’existence de ladite pratique dans une cause à laquelle A______ était partie (ATA/817/2014 précité consid. 16). Comme la chambre de céans l’avait alors retenu, la pratique en cause consistait à considérer qu’il n'y avait pas d' « aliénation » au sens de l'art. 39 al. 1 LDTR dans le cas d'opérations visant à liquider des SIAL et à transformer les cessionnaires détenteurs de certificats d'actions en propriétaires d'unités d'étages. L'idée qui sous-tendait cette pratique était que les immeubles concernés restaient</w:t>
      </w:r>
    </w:p>
    <w:p>
      <w:r>
        <w:t>- 16/23 - A/3314/2015 dans ce cas en mains des mêmes détenteurs économiques, les détenteurs des certificats d'action devenant simplement « propriétaires en nom » des biens immobiliers. Il ne s’agissait ainsi pas d’une vente d’appartement impliquant un changement de propriétaire mais d’un simple changement de régime juridique, non soumis à autorisation (ATA/817/2014 précité consid. 16).</w:t>
      </w:r>
    </w:p>
    <w:p>
      <w:r>
        <w:t>Or, si par la note du 9 avril 2014, le DALE a simplement suspendu sa pratique en raison d’un doute quant à l’existence de fraudes à la loi et ainsi annoncé l’exercice d’un contrôle par la présidence du département – intervenant en sa qualité d'autorité hiérarchique supérieure du RF et de la DAC et d'autorité de surveillance du RF –, afin de vérifier que cette pratique n'était pas détournée à des fins autres que celles poursuivies par la loi (ATA/817/2014 précité consid. 18), les arrêtés rendus suite à ce contrôle ont consacré un changement de pratique, puisqu’il n’est désormais plus automatiquement retenu l’absence de l’aliénation au sens de l’art. 39 al. 1 LDTR dans les cas de liquidation d’une SIAL avec transformation des cessionnaires détenteurs de certificats d'actions en propriétaires d'unités d'étages.</w:t>
      </w:r>
    </w:p>
    <w:p>
      <w:r>
        <w:t>Ainsi, le changement de pratique réside dans le fait que désormais, même dans le cas de figure visé par l’ancienne pratique de l’autorité intimée – soit de liquidation d’une SIAL avec transfert des unités d’étages aux actionnaires- locataires –, le dossier doit être soumis au DALE pour examen de l’assujettissement ou non à autorisation d’aliéner et, cas échéant, des conditions de délivrance d’une telle autorisation, préalablement à toute inscription au RF. 7)</w:t>
      </w:r>
    </w:p>
    <w:p>
      <w:r>
        <w:t>Il convient dès lors d’examiner si ce changement de pratique est conforme au droit.</w:t>
      </w:r>
    </w:p>
    <w:p>
      <w:r>
        <w:t>L’autorité intimée est revenue sur sa pratique en raison d’un changement des circonstances extérieures, soit l’existence de cas nouveaux, dans lesquels, par la succession de diverses opérations, se terminant par la liquidation d’une SIAL récemment créée – postérieurement à l’adoption des dispositions sur la PPE – avec transfert de la propriété d’unités d’étages aux cessionnaires détenteurs de certificats d'actions, des sociétés tentaient artificiellement d’obtenir l’application de la pratique de l’autorité intimée, ceci afin d’éluder l’art. 39 LDTR et d’aliéner des appartements sans avoir jamais sollicité d’autorisation en ce sens. L’autorité intimée a ainsi changé sa pratique en raison de cas de fraudes à la loi.</w:t>
      </w:r>
    </w:p>
    <w:p>
      <w:r>
        <w:t>Or, ces circonstances nouvelles de tentatives de fraudes à la loi sont avérées, le cas d’espèce lui-même les illustrant.</w:t>
      </w:r>
    </w:p>
    <w:p>
      <w:r>
        <w:t>En effet, alors que la vente des vingt-et-un appartements de l’immeuble – soumis au régime de la PPE depuis 2003 – par MM. V______ et W______ en faveur d’A______ – dont M. V______ est administrateur président – avait été autorisée par l’autorité intimée en mai 2013, M. V______, en sa qualité</w:t>
      </w:r>
    </w:p>
    <w:p>
      <w:r>
        <w:t>- 17/23 - A/3314/2015 d’actionnaire de la société, a vendu, en août 2013, ses actions à différents cessionnaires. Quelques jours après les dernières cessions d’actions, le 2 septembre 2013, les statuts d’A______ ont été modifiés, prévoyant désormais en faveur des actionnaires un droit de location des appartements de l’immeuble correspondant à leurs certificats d’actions, conformément au tableau de concordance. A______ est ainsi devenue une SIAL, alors même que l’immeuble était déjà soumis au régime de la PPE et qu’elle n’était alors même pas encore propriétaire des vingt-et-un appartements en cause, malgré l’autorisation d’aliéner délivrée quelques mois plus tôt. La propriété de ceux-ci a en effet uniquement été transférée à A______ un mois après sa transformation en SIAL, soit le 3 octobre 2013, ceci en vertu de l’autorisation d’aliéner délivrée avant qu’elle n’en devienne une. Finalement, en février et mars 2014, les actes de transfert ont été conclus, prévoyant le transfert des lots de PPE aux actionnaires en fonction des certificats d’actions qu’ils détenaient, ceci en comptant sur le fait que ces transferts ne seraient pas soumis à autorisation d’aliéner, comme l’indique clairement la disposition concernant la LDTR contenue dans chaque acte de transfert.</w:t>
      </w:r>
    </w:p>
    <w:p>
      <w:r>
        <w:t>Au cours de ces différentes étapes, à suivre l’argumentation des recourantes, aucune autorisation d’aliéner n’aurait jamais dû être sollicitée. Cette succession d’opérations visait pourtant clairement à aboutir à des aliénations au sens de l’art. 39 LDTR, puisqu’elle tendait à obtenir au final le transfert de la propriété de chacun des appartements en cause d’A______ aux acquéreurs et à les faire inscrire au RF en tant que propriétés individualisées.</w:t>
      </w:r>
    </w:p>
    <w:p>
      <w:r>
        <w:t>Ainsi, dans de tels cas, l’application de la pratique de l’autorité intimée serait allée à l’encontre de la loi, puisqu’elle aurait abouti à la finalisation des transferts sans examen de l’art. 39 LDTR, malgré la survenance d’aliénations au sens de cet article de par la globalité des différentes opérations.</w:t>
      </w:r>
    </w:p>
    <w:p>
      <w:r>
        <w:t>Il apparaît ainsi évident que ces opérations successives – céder les actions d’une société à différents cessionnaires, pour immédiatement la transformer en SIAL en relation avec des appartements situés dans un immeuble déjà soumis au régime de la PPE et dont la propriété n’a pas encore été acquise par la société en question, ceci pour finalement liquider la SIAL quelques mois plus tard et transférer aux actionnaires-locataires les lots de PPE correspondant à leur certificats d’actions – ont été mises sur pied afin de pouvoir artificiellement bénéficier de la pratique de l’autorité intimée et ainsi se soustraire à l’art. 39 LDTR.</w:t>
      </w:r>
    </w:p>
    <w:p>
      <w:r>
        <w:t>Au vu de ce qui précède et de l’ensemble des circonstances du cas d’espèce, le TAPI a, à juste titre, constaté qu’il y en l’espèce avait eu tentatives de fraudes à la loi, visant l’aliénation des appartements en se soustrayant à l’examen requis par l’art. 39 LDTR.</w:t>
      </w:r>
    </w:p>
    <w:p>
      <w:r>
        <w:t>- 18/23 - A/3314/2015</w:t>
      </w:r>
    </w:p>
    <w:p>
      <w:r>
        <w:t>Or, les tentatives de fraudes à la loi du cas d’espèce ne sont pas des cas isolés, comme le démontrent les causes A/3194/2015 et A/3233/2015, similaires – toutes concernent des sociétés dont M. V______ est administrateur président, comportent une proximité temporelle, les réquisitions au RF ayant été opérées dans les trois cas en février et mars 2014, et s’illustrent par des opérations successives visant à aboutir à la liquidation d’une SIAL avec transferts des lots de PPE aux actionnaires-locataires –, de sorte qu’il existait une nécessité pour l’autorité intimée de changer sa pratique, afin de s’assurer que l’art. 39 LDTR ne puisse être éludé par la mise sur pied puis la liquidation d’une SIAL pour masquer des aliénations de parts de PPE correspondant à des appartements.</w:t>
      </w:r>
    </w:p>
    <w:p>
      <w:r>
        <w:t>Par ailleurs, si la pratique en cause est certes ancienne, la nécessité d’éviter des fraudes à la loi constitue en tout état de cause un motif objectif particulièrement sérieux justifiant son changement et l’on ne saurait reprocher au DALE de l’avoir abandonnée pour s’assurer que l’art. 39 LDTR ne soit pas contourné.</w:t>
      </w:r>
    </w:p>
    <w:p>
      <w:r>
        <w:t>Dans ces circonstances, le changement de pratique repose sur des motifs sérieux et objectifs et n’est pas contraire au principe de la bonne foi.</w:t>
      </w:r>
    </w:p>
    <w:p>
      <w:r>
        <w:t>Au surplus, si les recourants se plaignent d’une violation du principe de non-rétroactivité du fait de l’application du changement de pratique alors que les actes de transfert avaient déjà été conclus et les réquisitions d’inscription au RF déposées et portées au journal, il convient au contraire de constater que l’autorité intimée se devait, vu le principe de l’égalité de traitement, d’appliquer ledit changement immédiatement, y compris aux affaires pendantes au moment où il est intervenu, ce qui était le cas en l’espèce, puisqu’aucun transfert n’avait encore été inscrit au grand livre.</w:t>
      </w:r>
    </w:p>
    <w:p>
      <w:r>
        <w:t>Par conséquent, le changement de pratique, justifié par des tentatives de fraudes à la loi, est conforme au droit et l’instance précédente a, à bon droit, constaté que le transfert des lots de PPE aux acquéreurs constituait la dernière étape d’aliénations et était de ce fait soumis à autorisation selon l’art. 39 LDTR.</w:t>
      </w:r>
    </w:p>
    <w:p>
      <w:r>
        <w:t>Les griefs des recourants relatifs à l’absence de fraude à la loi, à l’absence d’aliénation, à l’illégalité du changement de pratique, ainsi qu’à la violation des principes de l’interdiction de la rétroactivité et de la bonne foi en relation avec ledit changement de pratique seront écartés. 8)</w:t>
      </w:r>
    </w:p>
    <w:p>
      <w:r>
        <w:t>Il convient à présent d’examiner si les conditions de délivrance des autorisations d’aliéner étaient réalisées.</w:t>
      </w:r>
    </w:p>
    <w:p>
      <w:r>
        <w:t>a. Le DALE autorise l’aliénation d’un appartement si celui-ci a été dès sa construction soumis au régime de la PPE ou à une forme de propriété analogue (let. a), était, le 30 mars 1985, soumis au régime de la PPE ou à une forme de</w:t>
      </w:r>
    </w:p>
    <w:p>
      <w:r>
        <w:t>- 19/23 - A/3314/2015 propriété analogue et qu’il avait déjà été cédé de manière individualisée (let. b), n’a jamais été loué (let. c), a fait une fois au moins l’objet d’une autorisation d’aliéner en vertu de la LDTR (let. d). L’autorisation ne porte que sur un appartement à la fois. Une autorisation de vente en bloc peut toutefois être accordée en cas de mise en vente simultanée, pour des motifs d’assainissement financier, de plusieurs appartements à usage d’habitation ayant été mis en PPE et jusqu’alors offerts en location, avec pour condition que l’acquéreur ne peut les revendre que sous la même forme, sous réserve de l’obtention d’une autorisation individualisée (art. 39 al. 4 LDTR).</w:t>
      </w:r>
    </w:p>
    <w:p>
      <w:r>
        <w:t>En cas de réalisation de l’une des hypothèses de l’art. 39 al. 4 LDTR, le DALE est tenu de délivrer l’autorisation d’aliéner, ce qui résulte des interprétations tant littérale – le texte indique que l’autorité « accorde » l’autorisation, sans réserver d’exception – qu’historique – l’art. 9 al. 3 aLDTR, dont le contenu est repris matériellement à l’art. 39 al. 4 LDTR, prévoyait expressément que l’autorité ne pouvait refuser l’autorisation – du texte légal. Il n’y a donc, le cas échéant, pas de place pour une pesée des intérêts au sens de l’art. 39 al. 2 LDTR. Les conditions posées à l’art. 39 al. 4 LDTR sont par ailleurs alternatives, ce qui résulte notamment de l’incompatibilité entre les let. a et b de cette disposition (ATA/1069/2016 du 20 décembre 2016 consid. 4a et les références citées).</w:t>
      </w:r>
    </w:p>
    <w:p>
      <w:r>
        <w:t>b. Au vu de la marge d’appréciation dont elle dispose, lorsqu’aucun des motifs d’autorisation expressément prévus par l’art. 39 al. 4 LDTR n’est réalisé, l’autorité doit rechercher si l’intérêt public l’emporte sur l’intérêt privé du recourant à aliéner l’appartement dont il est propriétaire (arrêts du Tribunal fédéral 1C_137/2011 ; 1C_139/2011 ; 1C_141/2011 ; 1C_143/2011 du 14 juillet 2011).</w:t>
      </w:r>
    </w:p>
    <w:p>
      <w:r>
        <w:t>Dans le cadre de l'examen de la requête en autorisation, le DALE procède à la pesée des intérêts publics et privés en présence (art. 13 al. 1 RDTR). L'intérêt privé est présumé l'emporter sur l'intérêt public lorsque le propriétaire doit vendre l'appartement par nécessité de liquider un régime matrimonial ou une succession (let. a), par nécessité de satisfaire aux exigences d'un plan de désendettement (let. b), ou du fait de la prise d'un nouveau domicile en dehors du canton (let. c ; art. 13 al. 3 RDTR). Le DALE refuse l’autorisation lorsqu’un motif prépondérant d’intérêt public ou d’intérêt général s’y oppose. L’intérêt public et l’intérêt général résident dans le maintien, en période de pénurie de logements, de l’affectation locative des appartements loués (art. 39 al. 2 LDTR).</w:t>
      </w:r>
    </w:p>
    <w:p>
      <w:r>
        <w:t>La politique prévue par la LDTR procède d’un intérêt public important (arrêt du Tribunal fédéral 1C_143/2011 précité consid. 2.2). Le refus de l’autorisation de vendre un appartement loué lorsqu’un motif prépondérant d’intérêt public ou d’intérêt général s’y oppose n’est pas contraire au principe de la proportionnalité, dès lors qu’il est consécutif, de la part de l’autorité</w:t>
      </w:r>
    </w:p>
    <w:p>
      <w:r>
        <w:t>- 20/23 - A/3314/2015 administrative, à une pesée des intérêts en présence et à une évaluation de l’importance du motif de refus envisagé au regard des intérêts privés en jeu. En effet, la restriction à la liberté individuelle ne doit pas entraîner une atteinte plus grave que ne l’exige le but d’intérêt public recherché (ATF 113 Ia 126 consid. 7b/aa; arrêt du Tribunal fédéral 1P.19/2003 du 8 avril 2003 consid. 2.1 ; ATA/593/2016 du 12 juillet 2016 consid. 13).</w:t>
      </w:r>
    </w:p>
    <w:p>
      <w:r>
        <w:t>c. En l’espèce, aucun des cas de délivrance des autorisations d’aliéner selon l’art. 39 al. 4 LDTR n’est réalisé, de sorte qu’il convient de procéder à la pesée des intérêts conformément à l’art. 39 al. 2 LDTR. Les intérêts qui s'opposent sont, d'une part, les intérêts privés d’A______ à transférer la propriété des appartements en cause aux acquéreurs et ceux de ces derniers à les acquérir ainsi que, d'autre part, l'intérêt public à la protection du parc locatif genevois.</w:t>
      </w:r>
    </w:p>
    <w:p>
      <w:r>
        <w:t>Or, comme l’ont constaté l’instance précédente et l’autorité intimée, les intérêts privés en cause apparaissent purement commerciaux et de convenance personnelle et ne sauraient l’emporter sur l’intérêt public à la protection du parc locatif genevois, auquel l’individualisation des appartements concernés se heurterait.</w:t>
      </w:r>
    </w:p>
    <w:p>
      <w:r>
        <w:t>Les recourants ne remettent au demeurant aucunement en cause la pesée des intérêts effectuée par le TAPI. Certes, en relation avec des griefs relatifs aux principes de la bonne foi et de la primauté du droit fédéral, ils invoquent les frais générés et les engagements pris en relation avec les actes de transfert, ainsi que les problèmes posés pour la liquidation de la SIAL en cas de confirmation des arrêtés litigieux. Toutefois, ces éléments, même avérés, ne suffiraient pas à faire primer leurs intérêts privés, s’agissant uniquement des conséquences des opérations artificielles sciemment mises sur pied afin de réaliser des fraudes à la loi et de procéder à des aliénations en éludant l’art. 39 LDTR. Les recourants n’invoquent au surplus pas d’autre fait particulier en relation avec leurs intérêts privés respectifs.</w:t>
      </w:r>
    </w:p>
    <w:p>
      <w:r>
        <w:t>Par conséquent, rien n’indique que le TAPI ait abusé de son pouvoir d’appréciation en retenant que l’intérêt public à la protection du parc locatif genevois était prépondérant et il a, à bon droit, confirmé que les conditions de délivrance des autorisations d’aliéner n’étaient pas réalisées. 9)</w:t>
      </w:r>
    </w:p>
    <w:p>
      <w:r>
        <w:t>Comme déjà mentionné, les recourants affirment toutefois que les autorisations d’aliéner auraient en tout état de cause dû être délivrées en application du principe de primauté du droit fédéral, le refus opposé par l’autorité intimée faisant obstacle à la liquidation de la SIAL, régie par les art. 736 ss de la loi fédérale complétant le CC (livre cinquième : droit des obligations) du 30 mars 1911 (code des obligations - CO - RS 220).</w:t>
      </w:r>
    </w:p>
    <w:p>
      <w:r>
        <w:t>- 21/23 - A/3314/2015</w:t>
      </w:r>
    </w:p>
    <w:p>
      <w:r>
        <w:t>a. Le principe de la primauté du droit fédéral découlant de l’art. 49 Cst. fait obstacle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façon exhaustive (ATF 119 Ia 348 consid. 2c ; 117 Ia 328 consid. 2b ; ATA/1345/2015 du 15 décembre 2015 consid. 6a).</w:t>
      </w:r>
    </w:p>
    <w:p>
      <w:r>
        <w:t>b. La réglementation mise en place par la LDTR est en soi conforme au droit fédéral et à la garantie de la propriété (ATF 116 Ia 401 consid. 9 p. 414 ; arrêt du Tribunal fédéral 1C_617/2012 du 3 mai 2013 consid. 2.3).</w:t>
      </w:r>
    </w:p>
    <w:p>
      <w:r>
        <w:t>c. En l’espèce, les recourants n’ont pas développé leur grief malgré la constatation du TAPI de sa motivation insuffisante, et l’on ne discerne pas en quoi les refus de délivrance des autorisations sollicitées empêcheraient toute liquidation d’A______ en tant que société anonyme et se heurteraient au principe de la primauté du droit fédéral.</w:t>
      </w:r>
    </w:p>
    <w:p>
      <w:r>
        <w:t>Au vu de ce qui précède, le grief, mal fondé, sera écarté et l’autorité intimée a, à juste titre, refusé de délivrer les vingt autorisations d’aliéner à A______. 10) Les recourants affirment que l’autorité intimée ne pouvait pas mettre à leur charge un émolument de CHF 330.- par arrêté.</w:t>
      </w:r>
    </w:p>
    <w:p>
      <w:r>
        <w:t>a. Le DALE perçoit un émolument de CHF 220.- à CHF 1'100.- pour toute décision rendue en application de l'art. 39 LDTR (art. 18 RDTR).</w:t>
      </w:r>
    </w:p>
    <w:p>
      <w:r>
        <w:t>b. En l’espèce, dans la mesure où les arrêtés de l’autorité intimée, conformes au droit, sont fondés sur l’art. 39 LDTR, c’est à juste titre qu’elle a fixé un émolument pour chaque décision ainsi prononcée.</w:t>
      </w:r>
    </w:p>
    <w:p>
      <w:r>
        <w:t>Si les recourants affirment que le montant de CHF 330.- par arrêté constituerait un émolument excessif, au regard du fait qu’il existe septante causes parallèles ayant abouti à des arrêtés similaires – en prenant en compte également les arrêtés dans les causes A/3194/2015 et A/3233/2015 –, il n’en demeure pas moins que, comme l’a constaté l’instance précédente, l’autorité intimée a dû, pour chaque demande d’autorisation, enregistrer la requête, ouvrir un dossier, l’instruire – en particulier en examinant les pièces propres à ce dossier –, et prononcer à chaque fois un arrêté distinct. L’émolument fixé se situant dans la fourchette inférieure des montants fixés par l’art. 18 RDTR, il n’apparaît pas excessif au vu du travail qui a ainsi dû être fourni.</w:t>
      </w:r>
    </w:p>
    <w:p>
      <w:r>
        <w:t>L’autorité intimée n’a dès lors pas abusé de son pouvoir d’appréciation en fixant l’émolument à CHF 330.- par arrêté et le grief sera écarté.</w:t>
      </w:r>
    </w:p>
    <w:p>
      <w:r>
        <w:t>- 22/23 - A/3314/2015 11) Dans ces circonstances, les vingt arrêtés rendus par l’autorité intimée sont conformes au droit et le recours contre le jugement du TAPI, entièrement mal fondé, sera rejeté. 12) Vu l’issue du litige, un émolument de CHF 2'000.- sera mis à la charge des recourants, pris conjointement et solidairement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