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ATA/398/2014 vom 27. Mai 2014</w:t>
      </w:r>
    </w:p>
    <w:p>
      <w:r>
        <w:t>GE Cour de justice, 2014-05-27, FR</w:t>
      </w:r>
    </w:p>
    <w:p>
      <w:r>
        <w:rPr>
          <w:b/>
        </w:rPr>
        <w:t xml:space="preserve">Quelle: </w:t>
      </w:r>
      <w:r>
        <w:t>https://mcp.opencaselaw.ch/entscheid/ge_gerichte_ATA_398_2014</w:t>
      </w:r>
    </w:p>
    <w:p>
      <w:r>
        <w:t>FR: GE_GERICHTE ATA/398/2014 du 27 mai 2014</w:t>
      </w:r>
    </w:p>
    <w:p>
      <w:r>
        <w:t>IT: GE_GERICHTE ATA/398/2014 del 27 maggio 2014</w:t>
      </w:r>
    </w:p>
    <w:p>
      <w:pPr>
        <w:pStyle w:val="Heading2"/>
      </w:pPr>
      <w:r>
        <w:t>Erwägungen</w:t>
      </w:r>
    </w:p>
    <w:p>
      <w:r>
        <w:rPr>
          <w:b/>
        </w:rPr>
        <w:t>E. 12</w:t>
      </w:r>
    </w:p>
    <w:p>
      <w:r>
        <w:t>septembre 1985 - LPA - E 5 10). 2)</w:t>
      </w:r>
    </w:p>
    <w:p>
      <w:r>
        <w:t>Dans les procédures de recours en matière administrative, la juridiction saisie doit inviter le recourant à payer une avance de frais destinée à couvrir les frais et émoluments de procédure présumables. À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(ATA/131/2011 du 1er mars 2011). 3)</w:t>
      </w:r>
    </w:p>
    <w:p>
      <w:r>
        <w:t>S’agissant d’un acte soumis à réception, telle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w:t>
      </w:r>
    </w:p>
    <w:p>
      <w:r>
        <w:rPr>
          <w:b/>
        </w:rPr>
        <w:t>E. 17</w:t>
      </w:r>
    </w:p>
    <w:p>
      <w:r>
        <w:t>;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w:t>
      </w:r>
    </w:p>
    <w:p>
      <w:r>
        <w:t>- 4/7 - A/1384/2013 courrier (ATF 123 III 493 ; 119 II 149 consid. 2 ; 119 V 94 consid. 4b/aa, et les références citées). S’agissant d’une décision qui n’est remise que contre signature du destinataire ou d’un tiers habilité, elle est réputée reçue au plus tard sept jours après la première tentative infructueuse de présentation (art. 62 al. 4 LPA).</w:t>
      </w:r>
    </w:p>
    <w:p>
      <w:r>
        <w:t>a.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consid. 1 pp. 493-494 ; 113 Ib 87 consid. 2b pp. 89-90 ; Arrêt du Tribunal fédéral 1P.250/1995 consid. 2b.cc ; SJ 2001 I 573 consid. 5 p. 582 ; Arrêt du Tribunal fédéral 4A_476/2014 publié in SJ 2014 I 235).</w:t>
      </w:r>
    </w:p>
    <w:p>
      <w:r>
        <w:t>b.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précité consid. 2b pp. 89-90 ; ATA/103/2013 du 19 février 2013 ; ATA/493/2013 du 30 juillet 2013).</w:t>
      </w:r>
    </w:p>
    <w:p>
      <w:r>
        <w:t>c. La fiction de la notification nécessite une règle claire, simple et avant tout uniforme (ATF 123 III 492 précité consid. 1 p. 493-494 et les références citées). Cela est également important pour l’autorité prenant la décision, d’éventuelles parties au litige et l’autorité de recours. La Poste jouit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(ATA/321/2012 du</w:t>
      </w:r>
    </w:p>
    <w:p>
      <w:r>
        <w:rPr>
          <w:b/>
        </w:rPr>
        <w:t>E. 22</w:t>
      </w:r>
    </w:p>
    <w:p>
      <w:r>
        <w:t>mai 2012 ; SJ 2001 I 193 précitée consid. 2b pp. 196-197).</w:t>
      </w:r>
    </w:p>
    <w:p>
      <w:r>
        <w:t>d. Les éléments qui précèdent s’appliquent pour autant que le destinataire ait dû s’attendre avec une certaine vraisemblance à recevoir une telle communication, cette condition étant en principe réalisée pendant toute la durée d’un procès (ATF 134 V 46 c. 4 ; ATF 130 III 396 c. 1.2.3 p. 399 ; Arrêt du Tribunal fédéral 4A_476/2013 du 6 janvier 2014 publié in SJ 2014 I 235).</w:t>
      </w:r>
    </w:p>
    <w:p>
      <w:r>
        <w:t>- 5/7 - A/1384/2013 4)</w:t>
      </w:r>
    </w:p>
    <w:p>
      <w:r>
        <w:t>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(ATA/280/2012 du 8 mai 2012 consid. 4d ; ATA/105/2012 du 21 février 2012 ; ATA/586/2010 du 31 août 2010 consid. 4 et les références citées). 5)</w:t>
      </w:r>
    </w:p>
    <w:p>
      <w:r>
        <w:t>En l’espèce, ce sont les dispositions prises par le recourant, soit la conservation de son courrier en poste restante et les dates auxquelles il est allé le retirer, qui l'ont empêché de prendre connaissance à temps de la demande d’avance de frais.</w:t>
      </w:r>
    </w:p>
    <w:p>
      <w:r>
        <w:t>Il n'y a dès lors pas lieu en l'espèce de se départir de la jurisprudence précitée sur la conservation en poste restante et l’art. 62 al. 5 LPA, qui prévoit que, lorsqu’une personne n’a pas reçu un acte de procédure sans sa faute, le délai fixé part de la réception effective, ne trouve pas application.</w:t>
      </w:r>
    </w:p>
    <w:p>
      <w:r>
        <w:t>L’éventuelle omission par le TAPI de joindre un bulletin de versement au courrier du 27 juin 2013, et l’imprécision du bulletin de versement expédié le</w:t>
      </w:r>
    </w:p>
    <w:p>
      <w:r>
        <w:rPr>
          <w:b/>
        </w:rPr>
        <w:t>E. 23</w:t>
      </w:r>
    </w:p>
    <w:p>
      <w:r>
        <w:t>juin 2013, n’ont joué aucun rôle dans l’issue de la procédure, dès lors que ces plis n’ont en tout état pas été retirés, selon les dires du recourant, avant l’échéance du délai fixé. 6)</w:t>
      </w:r>
    </w:p>
    <w:p>
      <w:r>
        <w:t>Mal fondé, le recours sera rejeté. 7)</w:t>
      </w:r>
    </w:p>
    <w:p>
      <w:r>
        <w:t>Vu l’issue du litige, un émolument de CHF 400.-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