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ATA/397/2020 vom 23. April 2020</w:t>
      </w:r>
    </w:p>
    <w:p>
      <w:r>
        <w:t>GE Cour de justice, 2020-04-23, FR</w:t>
      </w:r>
    </w:p>
    <w:p>
      <w:r>
        <w:rPr>
          <w:b/>
        </w:rPr>
        <w:t xml:space="preserve">Quelle: </w:t>
      </w:r>
      <w:r>
        <w:t>https://mcp.opencaselaw.ch/entscheid/ge_gerichte_ATA_397_2020</w:t>
      </w:r>
    </w:p>
    <w:p>
      <w:r>
        <w:t>FR: GE_GERICHTE ATA/397/2020 du 23 avril 2020</w:t>
      </w:r>
    </w:p>
    <w:p>
      <w:r>
        <w:t>IT: GE_GERICHTE ATA/397/2020 del 23 aprile 2020</w:t>
      </w:r>
    </w:p>
    <w:p>
      <w:pPr>
        <w:pStyle w:val="Heading2"/>
      </w:pPr>
      <w:r>
        <w:t>Erwägungen</w:t>
      </w:r>
    </w:p>
    <w:p>
      <w:r>
        <w:rPr>
          <w:b/>
        </w:rPr>
        <w:t>E. 12</w:t>
      </w:r>
    </w:p>
    <w:p>
      <w:r>
        <w:t>septembre 1985 - LPA - E 5 10). 2)</w:t>
      </w:r>
    </w:p>
    <w:p>
      <w:r>
        <w:t>Est litigieux le bien-fondé de la décision révoquant l'autorisation d’exploiter un établissement soumis à la LRDBHD. 3) a. Le droit d’être entendu, garanti par les art. 29 al. 2 de la Constitution fédérale de la Confédération suisse du 18 avril 1999 (Cst. - RS 101) et 41 LPA, comprend, notamment, le droit pour la personne concernée de s’expliquer avant qu’une décision ne soit prise à son détriment et de fournir des preuves quant aux faits de nature à influer sur le sort de la décision (ATF 142 II 218 consid. 2.3 ; 132 II 485 consid. 3.2).</w:t>
      </w:r>
    </w:p>
    <w:p>
      <w:r>
        <w:t>b. Les garanties minimales en matière de droit d'être entendu découlant de l'art. 29 al. 2 Cst. ne comprennent en principe pas le droit d'être entendu oralement (ATF 140 I 68 consid. 9.6.1 ; arrêt du Tribunal fédéral 2C_803/2019 du 26 février 2020 consid. 2.2). Le droit cantonal peut certes, selon les cas, offrir une protection plus étendue aux justiciables (arrêt du Tribunal fédéral 2C_747/2019 du 19 novembre 2019 consid. 3.2). Tel n'est cependant pas le cas à Genève, l'art. 18 LPA prévoyant que la procédure administrative est en principe écrite, sauf si le règlement et la nature de l’affaire requièrent une audition orale. 4)</w:t>
      </w:r>
    </w:p>
    <w:p>
      <w:r>
        <w:t>En l'espèce, le recourant n'indique pas en quoi son audition orale serait nécessaire à l'établissement des faits. Le dossier ne laisse pas apparaître que tel soit le cas, les points litigieux, en lien avec le paiement des cotisations sociales et le respect des engagements du recourant envers l'OCAS, pouvant facilement être prouvés par pièces.</w:t>
      </w:r>
    </w:p>
    <w:p>
      <w:r>
        <w:t>Au vu ce qui précède, il ne peut être reproché à l’autorité intimée d’avoir violé le droit d’être entendu du recourant, et le grief sera écarté. Pour les mêmes motifs, il ne sera pas procédé à l’audition du recourant par la chambre de céans. 5)</w:t>
      </w:r>
    </w:p>
    <w:p>
      <w:r>
        <w:t>Le 1er janvier 2016, la nouvelle LRDBHD et son règlement d’exécution du 28 octobre 2015 (RRDBHD - I 2 22.01) sont entrés en vigueur, abrogeant l’ancienne loi sur la restauration, le débit de boissons et l’hébergement du</w:t>
      </w:r>
    </w:p>
    <w:p>
      <w:r>
        <w:rPr>
          <w:b/>
        </w:rPr>
        <w:t>E. 17</w:t>
      </w:r>
    </w:p>
    <w:p>
      <w:r>
        <w:t>décembre 1987 (LRDBH - I 2 21) et son règlement d’exécution du 31 août 1988 (RRDBH - I 2 21.01). 6) a. L’exploitation de toute entreprise vouée à la restauration, au débit de boissons et à l’hébergement est soumise à l’obtention préalable d’une autorisation d’exploiter délivrée par le département (art. 8 al. 1 LRDBHD). Cette autorisation doit être requise lors de chaque création, changement de catégorie ou de lieu,</w:t>
      </w:r>
    </w:p>
    <w:p>
      <w:r>
        <w:t>- 6/11 - A/2921/2019 agrandissement et transformation, changement d’exploitant ou de propriétaire de l’entreprise, ou modification des conditions de l’autorisation antérieure (art. 8 al. 2 LRDBHD).</w:t>
      </w:r>
    </w:p>
    <w:p>
      <w:r>
        <w:t>b. Selon l’art. 9 let. d 1ère phr. LRDBHD, qui fixe les conditions relatives à l’exploitant, soit la ou les personnes physiques responsables de l’entreprise, qui exercent effectivement et à titre personnel toutes les tâches relevant de la gestion de celle-ci (art. 3 let. n LRDBHD), l’autorisation d’exploiter une entreprise est délivrée notamment à condition qu’il offre, par ses antécédents et son comportement, toute garantie que l’entreprise est exploitée conformément aux dispositions de la LRDBHD et aux prescriptions en matière de police des étrangers, de sécurité sociale et de droit du travail, ainsi qu’aux dispositions pénales prohibant les crimes ou délits dans la faillite et la poursuite pour dettes et, s’il a la qualité d’employeur, qu’il démontre au moyen d’une attestation officielle ne pas avoir de retard dans le paiement des cotisations sociales.</w:t>
      </w:r>
    </w:p>
    <w:p>
      <w:r>
        <w:t>c. L’art. 10 LRDBHD détaille les conditions relatives au propriétaire, à savoir que l'autorisation d'exploiter l’entreprise est délivrée à condition que son propriétaire offre, par ses antécédents et son comportement, toute garantie que l’entreprise est exploitée conformément aux dispositions de la LRDBHD et aux prescriptions en matière de police des étrangers, de sécurité sociale et de droit du travail, ainsi qu'aux dispositions pénales prohibant les crimes ou délits dans la faillite et la poursuite pour dettes. S’il est l’employeur des personnes qui travaillent au sein de l’entreprise, le propriétaire doit en outre démontrer au moyen d’une attestation officielle ne pas avoir de retard dans le paiement des cotisations sociales.</w:t>
      </w:r>
    </w:p>
    <w:p>
      <w:r>
        <w:t>Selon l'art. 20 al. 3 let. d RRDBHD, le document demandé dans la disposition précitée est une attestation prouvant que le propriétaire s’est acquitté envers ses employés des prestations sociales (assurance vieillesse et survivants, assurance invalidité, prévoyance professionnelle) durant les douze derniers mois précédant le dépôt de la requête (si le propriétaire est employeur, respectivement a été employeur).</w:t>
      </w:r>
    </w:p>
    <w:p>
      <w:r>
        <w:t>d. L'autorisation d'exploiter est révoquée par le département lorsque les conditions de sa délivrance ne sont plus remplies, ainsi qu'en cas de non-paiement de la taxe annuelle prévue par la LRDBHD (art. 14 LRDBHD). 7) a. Les travaux préparatoires relatifs à la LRDBHD relèvent que celle-ci a, entre autres, pour objectif le renforcement de la protection des travailleurs. Le projet de loi a ainsi intégré plusieurs références au droit du travail, rappelant que les employeurs devaient respecter la législation sur le travail, quels que soient les horaires d’exploitation, devaient fournir une attestation démontrant qu’ils n’avaient pas de retard dans le paiement de leurs cotisations sociales et pouvaient</w:t>
      </w:r>
    </w:p>
    <w:p>
      <w:r>
        <w:t>- 7/11 - A/2921/2019 être soumis à un contrôle des conditions de travail en tout temps (PL 11'282, p. 44).</w:t>
      </w:r>
    </w:p>
    <w:p>
      <w:r>
        <w:t>b. La condition posée à l'art. 10 LRDBHD pour le propriétaire est le pendant de celle posée à l'art. 9 al. 1 let. d LRDBHD pour l'exploitant (PL 11'282 p. 54). Selon les travaux préparatoires, cette mesure consistant en la remise, par l’exploitant, d’une attestation de son organisme d’assurances sociales démontrant qu’il est à jour dans le versement des cotisations sociales (le règlement pouvant définir plus précisément le type d’attestation requis), est avec celle de l'art. 9 al. 1 let. e LRDBHD l'une des deux nouvelles conditions qui s’appliquent à l’exploitant employeur (PL 11'282 p. 53). 8)</w:t>
      </w:r>
    </w:p>
    <w:p>
      <w:r>
        <w:t>En 2018, la chambre de céans a jugé une affaire portant sur le refus d'octroyer une autorisation d'exploiter pour retard dans le paiement des cotisations sociales. Il ressortait des pièces du dossier que l'intéressé était en retard dans le versement des cotisations sociales de ses employés pour la période du 1er mars au 31 décembre 2016 ; les conditions fixées par l’art. 10 LRDBHD n’étaient donc pas remplies, et le PCTN était ainsi fondé à refuser l’autorisation sollicitée. En revanche, le recourant dans cette affaire avait produit devant la chambre administrative des pièces attestant que la société propriétaire était désormais en règle avec les cotisations sociales, si bien que le recours devait être admis (ATA/358/2018 du 17 avril 2018 consid. 3c et 4). 9)</w:t>
      </w:r>
    </w:p>
    <w:p>
      <w:r>
        <w:t>Le principe de la bonne foi entre administration et administré, exprimé aux art. 9 et 5 al. 3 Cst., exige que l’une et l’autre se comportent réciproquement de manière loyale (Jacques DUBEY, Droits fondamentaux, vol. 2, 2018, p. 642 n. 3454). En particulier, l’administration doit s’abstenir de toute attitude propre à tromper l’administré et elle ne saurait tirer aucun avantage des conséquences d’une incorrection ou insuffisance de sa part (ATF 138 I 49 consid. 8.3 ; ATA/728/2018 du 10 juillet 2018 ; Thierry TANQUEREL, Manuel de droit administratif, 2ème éd., 2018, p. 203 n. 568).</w:t>
      </w:r>
    </w:p>
    <w:p>
      <w:r>
        <w:t>Le principe de la bonne foi protège le citoyen dans la confiance légitime qu’il met dans les assurances reçues des autorités lorsqu'il a réglé sa conduite d'après des décisions, des déclarations ou un comportement déterminé de l'administration (ATF 141 V 530 consid. 6.2).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w:t>
      </w:r>
    </w:p>
    <w:p>
      <w:r>
        <w:t>- 8/11 - A/2921/2019 donnée (ATF 141 V 530 consid. 6.2 ; ATA/493/2018 du 22 mai 2018 et les références citées ; Thierry TANQUEREL, op.cit., p. 206 s n. 578 s). 10)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Traditionnellement, 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 ; ATA/569/2015 du 2 juin 2015 ; Pascal MAHON, Droit constitutionnel, vol. II, 2014, n. 38, n. 126, n. 137 ; Andreas AUER/ Giorgio MALINVERNI/Michel HOTTELIER, Droit constitutionnel suisse, vol. II, 3ème éd., 2013, n. 226 ss ; Thierry TANQUEREL, op. cit., n. 552 ss). 11) Selon le Tribunal fédéral,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130 V 177 consid. 5.4.1). L’excès de formalisme peut résider dans la règle de comportement qui est imposée au plaideur ou dans la sanction qui est attachée à cette règle (ATF 132 I 249 consid. 5 ; arrêt du Tribunal fédéral 1C_145/2014 du 1er mai 2014 consid. 3.1). 12) En l'espèce, la société propriétaire, dont le recourant est le gérant avec signature individuelle, avait en 2019 d'importants retards dans le paiement des cotisations sociales des employés du café-restaurant, ce que le recourant ne conteste d'ailleurs pas. Ce dernier n'a jamais fourni d'attestation officielle au sens des art. 10 LRDBHD et 20 al. 3 RRDBHD. Les conditions fixées par l’art. 10 LRDBHD n’étaient donc pas remplies, et le PCTN était ainsi fondé à révoquer l'autorisation d'exploiter sur la base de l'art. 14 LRDBHD.</w:t>
      </w:r>
    </w:p>
    <w:p>
      <w:r>
        <w:t>Il ne ressort pas du dossier que l’arriéré de cotisations sociales ait été réglé pendant la procédure. La pièce versée par le recourant en novembre 2019, qui n'est d'ailleurs pas une attestation officielle, fait état certes d'un remboursement assez important de charges sociales en 2018, mais retient qu'il restait encore à ce moment un solde négatif de CHF 178'843.80 au 31 octobre 2019.</w:t>
      </w:r>
    </w:p>
    <w:p>
      <w:r>
        <w:t>- 9/11 - A/2921/2019</w:t>
      </w:r>
    </w:p>
    <w:p>
      <w:r>
        <w:t>Par ailleurs, le grief de violation du principe de la bonne foi tel qu'invoqué par le recourant tombe à faux. On ne dénote de la part de l'autorité intimée aucun comportement contradictoire, puisqu'elle a averti d'emblée, en décembre 2018, le recourant qu'un défaut de paiement des cotisations sociales pouvait entraîner une révocation de l'autorisation d'exploiter. Le PCTN n'a par ailleurs jamais donné d'assurance au recourant qu'il pouvait continuer à exploiter B______ alors que sa société serait en retard dans le paiement des cotisations sociales. Le fait que le recourant ait pu bénéficier d'arrangements de paiement de la part de l'OCAS ne saurait à cet égard valoir assurance de la part du PCTN en matière d'exploitation de B______.</w:t>
      </w:r>
    </w:p>
    <w:p>
      <w:r>
        <w:t>Enfin, le grief de violation du principe de la proportionnalité tel qu'invoqué dans l'acte de recours n'est pas clair, la motivation laissant penser que le recourant plaide en réalité une violation de l'interdiction du formalisme excessif, voire du droit d'être entendu. Sur ce point, la manière de faire de l'autorité intimée n'est toutefois pas critiquable. Elle a en effet donné au recourant un délai suffisant pour s'exprimer et produire des pièces, et il lui aurait été loisible, même sans connaissances juridiques particulières, de demander un délai supplémentaire s'il était en instance de recevoir de telles pièces. Force est de constater du reste que tel n'est pas le cas, aucune attestation officielle ni accord avec l'OCAS n'ayant été produit depuis.</w:t>
      </w:r>
    </w:p>
    <w:p>
      <w:r>
        <w:t>On ne discerne pas non plus de violation du principe de la proportionnalité sur le fond, le montant dû aux assurances sociales étant élevé, et loin d'être en passe d’être acquitté au moment de la prise de décision. Il sied encore d'ajouter qu'une nouvelle autorisation d'exploiter serait susceptible d'être délivrée dès que la société du recourant sera à jour dans le paiement de ses arriérés de cotisations.</w:t>
      </w:r>
    </w:p>
    <w:p>
      <w:r>
        <w:t>Il résulte de ce qui précède que la décision attaquée est conforme au droit. Le recours sera par conséquent rejeté. 13) Vu l'issue du litige, un émolument de CHF 500.- sera mis à la charge du recourant, qui succombe (art. 87 al. 1 LPA), et aucune indemnité de procédure ne sera allouée (art. 87 al. 2 LPA).</w:t>
      </w:r>
    </w:p>
    <w:p>
      <w:r>
        <w:t>* * * * *</w:t>
      </w:r>
    </w:p>
    <w:p>
      <w:r>
        <w:t>- 10/11 - A/2921/2019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