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ATA/397/2008 vom 14. Januar 2008</w:t>
      </w:r>
    </w:p>
    <w:p>
      <w:r>
        <w:t>GE Cour de justice, 2008-01-14, FR</w:t>
      </w:r>
    </w:p>
    <w:p>
      <w:r>
        <w:rPr>
          <w:b/>
        </w:rPr>
        <w:t xml:space="preserve">Quelle: </w:t>
      </w:r>
      <w:r>
        <w:t>https://mcp.opencaselaw.ch/entscheid/ge_gerichte_ATA_397_2008</w:t>
      </w:r>
    </w:p>
    <w:p>
      <w:r>
        <w:t>FR: GE_GERICHTE ATA/397/2008 du 14 janvier 2008</w:t>
      </w:r>
    </w:p>
    <w:p>
      <w:r>
        <w:t>IT: GE_GERICHTE ATA/397/2008 del 14 gennaio 2008</w:t>
      </w:r>
    </w:p>
    <w:p>
      <w:pPr>
        <w:pStyle w:val="Heading2"/>
      </w:pPr>
      <w:r>
        <w:t>Regeste</w:t>
      </w:r>
    </w:p>
    <w:p>
      <w:r>
        <w:t>Résumé: Recours rejeté contre une décision de retrait du permis de conduire de quatre mois en raison de deux excès de vitesse, l'un devant être qualifié de moyennement grave (dépassement de la vitesse autorisée de 27 km/h hors localité). La conductrice ayant déjà commis une infraction grave (dépassement de la vitesse autorisée de 27 km/h en localité) au cours des deux années précédant ces transgressions, la loi prévoit une durée minimale du retrait de permis de quatre mois (art. 16b al. 2 let. b LCR). Le cours d'éducation routière que la recourante a suivi sur proposition du SAN ne saurait permettre le prononcé d'une mesure inférieure au minimum légal (art. 17 LCR).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1er let. a de la loi sur la procédure administrative du 12 septembre 1985 - LPA - E 5 10).</w:t>
      </w:r>
    </w:p>
    <w:p>
      <w:r>
        <w:rPr>
          <w:b/>
        </w:rPr>
        <w:t>E. 2</w:t>
      </w:r>
    </w:p>
    <w:p>
      <w:r>
        <w:t>Chacun doit respecter les signaux et les marques et en particulier les signaux fixant une vitesse maximale (art. 27 al. 1er LCR ; art. 16 et 22 de l’ordonnance sur la signalisation routière du 5 septembre 1979 - OSR - RS 741.21 ; ATF 108 IV 62). Hors des localités, la vitesse maximale générale des véhicules peut atteindre 80 km/h, lorsque les conditions de la route, de la circulation et de visibilité sont favorables selon l’article 4a alinéa 1er lettre a de l’ordonnance sur les règles de la circulation routière du 13 novembre 1962 (OCR - RS 741.11 ; ATF 121 II 127 ; JT 1995 I 664). Selon l’alinéa 5 de cette même disposition, les signaux peuvent indiquer d’autres vitesses maximales, celles-ci étant applicables en lieu et place des limitations générales de vitesse.</w:t>
      </w:r>
    </w:p>
    <w:p>
      <w:r>
        <w:t>Dans le cas d'espèce, il est établi par les rapports de contravention des 2 juillet et 26 novembre 2007 que la recourante a contrevenu aux dispositions précitées en dépassant la vitesse autorisée, qui était respectivement de 50 et 60 km/h.</w:t>
      </w:r>
    </w:p>
    <w:p>
      <w:r>
        <w:t>Au cours de son audition, la recourante a prétendu avoir appris qu'elle devait accélérer de manière à atteindre la vitesse de 80 km/h au moment d'arriver sur les voies de circulation d'une autoroute, ce qui ne lui permettait pas de se conformer aux prescriptions de limitation à 60 km/heure.</w:t>
      </w:r>
    </w:p>
    <w:p>
      <w:r>
        <w:t>Cet argumentation, au demeurant erronée, est dénuée de toute pertinence car, dans le cas d'espèce, aucune des infractions retenues n'a été commise avant l'entrée d'une autoroute.</w:t>
      </w:r>
    </w:p>
    <w:p>
      <w:r>
        <w:rPr>
          <w:b/>
        </w:rPr>
        <w:t>E. 3</w:t>
      </w:r>
    </w:p>
    <w:p>
      <w:r>
        <w:t>La recourante conteste devoir faire l'objet d'une mesure de retrait de permis de conduire prise à son encontre.</w:t>
      </w:r>
    </w:p>
    <w:p>
      <w:r>
        <w:t>a. Selon l’article 16 alinéa 2 LCR, le permis de conduire peut être retiré en cas d’infraction aux prescriptions sur la circulation routière pour lesquelles la procédure relative aux amendes d’ordre n’est pas applicable.</w:t>
      </w:r>
    </w:p>
    <w:p>
      <w:r>
        <w:t>Les articles 16a à 16c LCR définissent les modalités selon lesquelles le retrait de permis peut être retiré en cas d’infraction à la législation routière, selon</w:t>
      </w:r>
    </w:p>
    <w:p>
      <w:r>
        <w:t>- 5/8 - A/352/2008 que celle-ci est légère (art. 16a LCR), moyennement grave (art. 16b LCR) ou grave (art. 16c LCR).</w:t>
      </w:r>
    </w:p>
    <w:p>
      <w:r>
        <w:t>Selon l’article 16b alinéa 1er lettre a LCR, commet une infraction moyennement grave celui qui, en violant les règles de la circulation, crée un danger pour la sécurité d’autrui ou en prend le risque.</w:t>
      </w:r>
    </w:p>
    <w:p>
      <w:r>
        <w:t>b. 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JdT 1997 I 725, consid. 2b, pp. 728- 729 et références citées). En cas d’infraction particulièrement légère, il est renoncé à toute mesure administrative (art. 16a al. 4 LCR). Lorsque le dépassement se situe entre 26 et 29 km/h, la faute est de gravité moyenne (ATF 124 II 259).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et 90 ch. 2 LCR; ATF 123 II 106, JdT 1997 I 725, consid. 2c, p. 730 et références citées).</w:t>
      </w:r>
    </w:p>
    <w:p>
      <w:r>
        <w:t>En l’espèce, le dépassement de vitesse autorisée du 8 avril 2007, au demeurant non contesté, a été de 27 km/h hors localité, après déduction de la marge de sécurité. Il s’agit d’un cas moyennement grave qui entraîne obligatoirement un retrait de permis, conformément à l’article 16b alinéa 1er lettre a LCR.</w:t>
      </w:r>
    </w:p>
    <w:p>
      <w:r>
        <w:rPr>
          <w:b/>
        </w:rPr>
        <w:t>E. 4</w:t>
      </w:r>
    </w:p>
    <w:p>
      <w:r>
        <w:t>La recourante allègue que la durée de la mesure prise par le SAN est excessive en raison de ses besoins professionnels de disposer d'un véhicule automobile ainsi que de son acceptation de suivre un cours d'éducation routière.</w:t>
      </w:r>
    </w:p>
    <w:p>
      <w:r>
        <w:t>a. Selon l’article 16 alinéa 3 LCR, la durée de la mesure de retrait de permis doit être prise en fonction des circonstances, soit notamment l’atteinte à la sécurité routière, la gravité de la faute, les antécédents en tant que conducteur ainsi que la nécessité professionnelle de conduire un véhicule automobile.</w:t>
      </w:r>
    </w:p>
    <w:p>
      <w:r>
        <w:t>b. Dans le cas d'une infraction moyennement grave, la durée minimale du retrait de permis est de un mois ( art. 16b al. 2 let. a LCR). Toutefois, aux termes de l’article 16b alinéa 2 lettre b LCR, cette durée ne peut être inférieure à quatre mois si, au cours des deux années précédant l’infraction, le permis a été retiré une fois en raison d’une infraction grave ou moyennement grave. Au vu des antécédents de la recourante, plus particulièrement de l’infraction grave du 29 mai 2006, cette dernière disposition légale trouve son application, une durée de quatre</w:t>
      </w:r>
    </w:p>
    <w:p>
      <w:r>
        <w:t>- 6/8 - A/352/2008 mois se situant ainsi au seuil légal inférieur (sur la qualification de l’infraction grave – excès de vitesse à l’intérieur d’une localité – cf. ATA/201/2006 du 4 avril 2006 et références citées).</w:t>
      </w:r>
    </w:p>
    <w:p>
      <w:r>
        <w:t>Ainsi, en arrêtant la durée du retrait à quatre mois pour les deux excès de vitesse des 8 avril et 28 août 2007 même s'il n'a pris en compte que l'infraction la plus grave, le SAN n’a pas adopté une mesure disproportionnée. Il a même fait preuve de mansuétude, dès lors que le cumul d’infractions justifierait que l’on s’écarte du minimum légal (F. CARDINAUX, Les dispositions pénales de la loi fédérale sur la circulation routière et le concours, Lausanne 1988, p. 193).</w:t>
      </w:r>
    </w:p>
    <w:p>
      <w:r>
        <w:t>c. Les besoins professionnels particuliers ne permettent pas de diminuer la durée de la mesure en deçà du minimum fixé par la LCR (ATA/312/2008 du 10 juin 2008). Le tribunal de céans l'a rappelé dans le cas d'un chauffeur de taxi dont les besoins professionnels sont sans conteste déterminants (ATA/8/2008 du 8 janvier 2008). En outre, la mesure ne peut pas être fractionnée (ATF 134 II 39 consid. 3). De ce fait, quels que soient les besoins de la recourante d'utiliser un véhicule pour se rendre dans les différents lieux de ses activités, ils ne peuvent être pris en compte, le tribunal de céans étant lié par le minimum légal.</w:t>
      </w:r>
    </w:p>
    <w:p>
      <w:r>
        <w:t>d. C'est également en vain que la recourante a fait état de son engagement à suivre un cours de sensibilisation du TCS pour obtenir une réduction de la durée du retrait.</w:t>
      </w:r>
    </w:p>
    <w:p>
      <w:r>
        <w:t>Conformément à l'article 17 alinéa 1er LCR, le permis de conduire retiré pour une durée déterminée peut être restitué au plus tôt trois mois avant l'expiration de la durée prescrite du retrait si la personne concernée a suivi un des cours d'éducation routière reconnus par l'autorité. Cette disposition n'est toutefois pas applicable dans le cadre du prononcé du retrait de permis de conduire, mais seulement au stade de l'exécution de la mesure. En outre, l'usage de cette faculté par l'autorité administrative ne peut pas conduire à une réduction de la durée minimale légale du retrait.</w:t>
      </w:r>
    </w:p>
    <w:p>
      <w:r>
        <w:rPr>
          <w:b/>
        </w:rPr>
        <w:t>E. 5</w:t>
      </w:r>
    </w:p>
    <w:p>
      <w:r>
        <w:t>Lors de son audition, la recourante a prétendu enfin que le SAN lui avait promis d'annuler sa sanction si elle suivait le cours précité.</w:t>
      </w:r>
    </w:p>
    <w:p>
      <w:r>
        <w:t>Cette promesse ne ressort nullement des pièces versées au dossier et la recourante n'en établit aucunement la réalité. Bien au contraire, dans son courrier du 16 juillet 2007, l'intimé lui avait expressément précisé que si la participation au cours du TCS pouvait être prise en compte dans l'appréciation globale du dossier, la durée minimale du retrait ne pouvait pas être réduite.</w:t>
      </w:r>
    </w:p>
    <w:p>
      <w:r>
        <w:t>Par conséquent, le tribunal de céans n'entrera pas en matière sur ce grief, sous l'angle d'une éventuelle violation du principe de la bonne foi.</w:t>
      </w:r>
    </w:p>
    <w:p>
      <w:r>
        <w:t>- 7/8 - A/352/2008</w:t>
      </w:r>
    </w:p>
    <w:p>
      <w:r>
        <w:rPr>
          <w:b/>
        </w:rPr>
        <w:t>E. 6</w:t>
      </w:r>
    </w:p>
    <w:p>
      <w:r>
        <w:t>En tout point mal fondé, le recours sera rejeté. Un émolument de CHF 400.-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