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ATA/396/2014 vom 27. Mai 2014</w:t>
      </w:r>
    </w:p>
    <w:p>
      <w:r>
        <w:t>GE Cour de justice, 2014-05-27, FR</w:t>
      </w:r>
    </w:p>
    <w:p>
      <w:r>
        <w:rPr>
          <w:b/>
        </w:rPr>
        <w:t xml:space="preserve">Quelle: </w:t>
      </w:r>
      <w:r>
        <w:t>https://mcp.opencaselaw.ch/entscheid/ge_gerichte_ATA_396_2014</w:t>
      </w:r>
    </w:p>
    <w:p>
      <w:r>
        <w:t>FR: GE_GERICHTE ATA/396/2014 du 27 mai 2014</w:t>
      </w:r>
    </w:p>
    <w:p>
      <w:r>
        <w:t>IT: GE_GERICHTE ATA/396/2014 del 27 maggio 2014</w:t>
      </w:r>
    </w:p>
    <w:p>
      <w:pPr>
        <w:pStyle w:val="Heading2"/>
      </w:pPr>
      <w:r>
        <w:t>Erwägungen</w:t>
      </w:r>
    </w:p>
    <w:p>
      <w:r>
        <w:rPr>
          <w:b/>
        </w:rPr>
        <w:t>E. 12</w:t>
      </w:r>
    </w:p>
    <w:p>
      <w:r>
        <w:t>septembre 1985 - LPA - E 5 10). 2)</w:t>
      </w:r>
    </w:p>
    <w:p>
      <w:r>
        <w:t>Aux termes des art. 55 de loi de procédure fiscale du 4 octobre 2001 (LPFisc - D 3 17) et 147 de la loi fédérale sur l’impôt fédéral direct du</w:t>
      </w:r>
    </w:p>
    <w:p>
      <w:r>
        <w:rPr>
          <w:b/>
        </w:rPr>
        <w:t>E. 14</w:t>
      </w:r>
    </w:p>
    <w:p>
      <w:r>
        <w:t>décembre 1990 (LIFD - RS 642.11), une décision ou un prononcé entré en force peut être révisé en faveur du contribuable, à sa demande ou d’office : − lorsque des faits importants ou des preuves concluantes sont découverts ; − lorsque l’autorité qui a statué n’a pas tenu compte de faits importants ou de preuves concluantes qu’elle connaissait ou devait connaître ou qu’elle a violé de quelque autre manière l’une des règles essentielles de la procédure ; −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 . 3)</w:t>
      </w:r>
    </w:p>
    <w:p>
      <w:r>
        <w:t>En vertu des art. 56 LPFisc et 148 LIFD, la demande de révision doit être déposée dans les nonante jours qui suivent la découverte du motif de révision, mais au plus tard dans les dix ans qui suivent la notification de la décision ou du prononcé.</w:t>
      </w:r>
    </w:p>
    <w:p>
      <w:r>
        <w:t>Par analogie avec l'art. 124 al. 1 let. d de la loi fédérale sur le Tribunal fédéral du 17 juin 2005 (LTF - RS 173.110), il s'agit là d'une question qui relève de la recevabilité, et non du fond, au contraire de celle de savoir si le requérant a</w:t>
      </w:r>
    </w:p>
    <w:p>
      <w:r>
        <w:t>- 4/5 - A/1020/2013 tardé à découvrir le motif de révision invoqué.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4)</w:t>
      </w:r>
    </w:p>
    <w:p>
      <w:r>
        <w:t>En l’espèce, la recourante indique elle-même avoir reçu l’arrêt de la chambre civile au cours du mois de juillet 2012 et la demande de révision a été déposée le 19 novembre 2012. Dans ces circonstances, le TAPI ne pouvait que constater la tardiveté de la démarche entreprise, sans que les éventuels contacts que la recourante aurait eus avec l’AFC ne puissent modifier cette issue. 5)</w:t>
      </w:r>
    </w:p>
    <w:p>
      <w:r>
        <w:t>Au vu de ce qui précède, le recours sera rejeté. Un émolument de CHF 250.- sera mis à la charge de la recourante,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