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ATA/396/2011 vom 21. Juni 2011</w:t>
      </w:r>
    </w:p>
    <w:p>
      <w:r>
        <w:t>GE Cour de justice, 2011-06-21, FR</w:t>
      </w:r>
    </w:p>
    <w:p>
      <w:r>
        <w:rPr>
          <w:b/>
        </w:rPr>
        <w:t xml:space="preserve">Quelle: </w:t>
      </w:r>
      <w:r>
        <w:t>https://mcp.opencaselaw.ch/entscheid/ge_gerichte_ATA_396_2011</w:t>
      </w:r>
    </w:p>
    <w:p>
      <w:r>
        <w:t>FR: GE_GERICHTE ATA/396/2011 du 21 juin 2011</w:t>
      </w:r>
    </w:p>
    <w:p>
      <w:r>
        <w:t>IT: GE_GERICHTE ATA/396/2011 del 21 giugno 2011</w:t>
      </w:r>
    </w:p>
    <w:p>
      <w:pPr>
        <w:pStyle w:val="Heading2"/>
      </w:pPr>
      <w:r>
        <w:t>Erwägungen</w:t>
      </w:r>
    </w:p>
    <w:p>
      <w:r>
        <w:rPr>
          <w:b/>
        </w:rPr>
        <w:t>E. 1</w:t>
      </w:r>
    </w:p>
    <w:p>
      <w:r>
        <w:t>Selon l’art. 9 de la loi sur la procédure administrative du 12 septembre 1985 (LPA - E 5 10),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w:t>
      </w:r>
    </w:p>
    <w:p>
      <w:r>
        <w:t>En l’espèce, le recourant a confié la défense de ses intérêts à un avocat.</w:t>
      </w:r>
    </w:p>
    <w:p>
      <w:r>
        <w:rPr>
          <w:b/>
        </w:rPr>
        <w:t>E. 2</w:t>
      </w:r>
    </w:p>
    <w:p>
      <w:r>
        <w:t>Aux termes de l’art. 12 let. a et b de la loi fédérale sur la libre circulation des avocats du 23 juin 2000 (LLCA - RS 935.61), l’avocat exerce sa profession avec soin et diligence, en son nom personnel. A Genève, il peut se faire remplacer, sauf pour plaider, aux audiences des juridictions civiles et administratives, par un clerc d’avocat (art. 9 al. 1 de la loi sur la profession d’avocat du 26 avril 2002 - LPAv - E 6 10). En outre, un avocat-stagiaire inscrit au registre cantonal peut faire des actes de procédure en matière administrative au nom et sous la responsabilité de l’avocat chez lequel il accomplit son stage (art. 32 LPAV).</w:t>
      </w:r>
    </w:p>
    <w:p>
      <w:r>
        <w:t>- 3/5 - A/1919/2010</w:t>
      </w:r>
    </w:p>
    <w:p>
      <w:r>
        <w:t>Il résulte de ces dispositions que le secrétaire d’un avocat ne peut valablement signer l’acte de procédure qu’est un recours en lieu et place dudit avocat. L’acte de recours du 16 mai 2011 n’a donc pas été signé par un représentant autorisé au sens de l’art. 9 LPA. Le recours, ne peut ainsi qu’être déclaré irrecevable, sans autre acte d’instruction (art. 72 LPA).</w:t>
      </w:r>
    </w:p>
    <w:p>
      <w:r>
        <w:rPr>
          <w:b/>
        </w:rPr>
        <w:t>E. 3</w:t>
      </w:r>
    </w:p>
    <w:p>
      <w:r>
        <w:t>Vu les motifs ayant conduit à l’issue du litige, aucun émolument ne sera mis à la charge du recourant (art. 87 LPA). Le présent arrêt sera en outre communiqué à la commission du barreau, autorité disciplinaire des avocats.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