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ATA/394/2015 vom 28. April 2015</w:t>
      </w:r>
    </w:p>
    <w:p>
      <w:r>
        <w:t>GE Cour de justice, 2015-04-28, FR</w:t>
      </w:r>
    </w:p>
    <w:p>
      <w:r>
        <w:rPr>
          <w:b/>
        </w:rPr>
        <w:t xml:space="preserve">Quelle: </w:t>
      </w:r>
      <w:r>
        <w:t>https://mcp.opencaselaw.ch/entscheid/ge_gerichte_ATA_394_2015</w:t>
      </w:r>
    </w:p>
    <w:p>
      <w:r>
        <w:t>FR: GE_GERICHTE ATA/394/2015 du 28 avril 2015</w:t>
      </w:r>
    </w:p>
    <w:p>
      <w:r>
        <w:t>IT: GE_GERICHTE ATA/394/2015 del 28 aprile 2015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mai 2013). 9)</w:t>
      </w:r>
    </w:p>
    <w:p>
      <w:r>
        <w:t>Au vu de ce qui précède, le recours sera admis dans cette mesure. Un délai sera fixé aux parties pour se déterminer sur le montant du dommage et pour produire toutes pièces probantes à cet effet. Le sort des frais sera réservé jusqu'au prononcé de l'arrêt final de la chambre de céans.</w:t>
      </w:r>
    </w:p>
    <w:p>
      <w:r>
        <w:t>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