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ATA/394/2013 vom 25. Juni 2013</w:t>
      </w:r>
    </w:p>
    <w:p>
      <w:r>
        <w:t>GE Cour de justice, 2013-06-25, FR</w:t>
      </w:r>
    </w:p>
    <w:p>
      <w:r>
        <w:rPr>
          <w:b/>
        </w:rPr>
        <w:t xml:space="preserve">Quelle: </w:t>
      </w:r>
      <w:r>
        <w:t>https://mcp.opencaselaw.ch/entscheid/ge_gerichte_ATA_394_2013</w:t>
      </w:r>
    </w:p>
    <w:p>
      <w:r>
        <w:t>FR: GE_GERICHTE ATA/394/2013 du 25 juin 2013</w:t>
      </w:r>
    </w:p>
    <w:p>
      <w:r>
        <w:t>IT: GE_GERICHTE ATA/394/2013 del 25 giugno 2013</w:t>
      </w:r>
    </w:p>
    <w:p>
      <w:pPr>
        <w:pStyle w:val="Heading2"/>
      </w:pPr>
      <w:r>
        <w:t>Regeste</w:t>
      </w:r>
    </w:p>
    <w:p>
      <w:r>
        <w:t>Résumé: L'article premier de la délibération adoptée par le Conseil municipal de la ville de Genève autorisant le Conseil administratif à convertir en acte authentique l'accord de principe en vue de l'octroi d'un droit de superficie est un acte détachable constituant une décision au sens de l'art. 4 LPA. Son second article accordant au Conseil administratif le droit de désaffecter la parcelle n° 3'556B et de l'incorporer au domaine privé de la ville est une décision interne devant faire l'objet d'un contrôle préjudiciel. Le recourant, copropriétaire de la parcelle voisine de la parcelle à désaffecter et sur laquelle sera construit un bâtiment, dispose de la qualité pour recourir malgré le fait qu'il ait recouru seul, dans la mesure où il a un intérêt de fait à l'annulation de la délibération adoptée par le Conseil municipal. Le recourant s'est déterminé de nombreuses fois au cours de la procédure ayant conduit à la délibération du Conseil municipal, de sorte qu'il a pu valablement exercer son droit d'être entendu. Les griefs du recourant étant du ressort du droit des constructions, ceux-ci ne peuvent être examinés par la chambre administrative à ce stade, aucune autorisation de construire n'ayant été accordée pour l'instant.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octobre 2012 violerait, par ailleurs, la garantie de sa propriété (art. 26 Cst.) car la délibération porterait atteinte de manière disproportionnée à ses intérêts et l’empêcherait de réaliser ses propres projets de construction antérieurs.</w:t>
      </w:r>
    </w:p>
    <w:p>
      <w:r>
        <w:t>En l'espèce et comme relevé plus haut, ce type de griefs relatifs à d'éventuelles violations de la LCI et du RCI, ainsi que l'empêchement à réaliser ses propres projets seront à faire valoir, le cas échéant, dans le cadre de la DD 105'142-1 relative à la demande définitive en autorisation de construire déposée par la FULE, et la chambre de céans ne saurait préjuger du sort de la demande DD 105'142-1 formée par la FULE, laquelle est toujours en cours d'instruction auprès du DU. Ce dernier est la première autorité administrative compétente en la matière chargée d’examiner le bien-fondé de la DD 105’142-1 eu égard aux dispositions légales applicables (art. 2, 24 et ss, 41 et ss LCI et 9 RCI, 24 ; ATA/198/2013 du 26 mars 2013 relatif à l’art. 23 LCI).</w:t>
      </w:r>
    </w:p>
    <w:p>
      <w:r>
        <w:t>Dès lors, ce grief sera également écarté. 12) Finalement, M. Acquaroli soutient que la désaffectation partielle de la parcelle n° 3’556B d'une surface de 225 m2 est insuffisante pour réaliser un projet de construction susceptible d'être autorisé.</w:t>
      </w:r>
    </w:p>
    <w:p>
      <w:r>
        <w:t>En l'espèce, la chambre de céans ne saurait préjuger du sort que donnera le DU à la demande en autorisation de construire DD 105'142-1 formée par la</w:t>
      </w:r>
    </w:p>
    <w:p>
      <w:r>
        <w:t>- 17/18 - A/3583/2012 FULE, tout en relevant que l'art. 11 al. 2 let. c LDPu ne fixe pas de minimum quant à la surface que le Conseil d'Etat est autorisé à désaffecter.</w:t>
      </w:r>
    </w:p>
    <w:p>
      <w:r>
        <w:t>Partant, ce grief sera aussi écarté. 13) Au vu de tout ce qui précède, les recours, mal fondés, seront rejetés. 14) Un émolument global de CHF 2’000.- sera mis à la charge du recourant, qui succombe (art. 87 al. 1 LPA). Vu l'issue du litige, aucune indemnité de procédure ne lui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