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ATA/38/2023 vom 17. Januar 2023</w:t>
      </w:r>
    </w:p>
    <w:p>
      <w:r>
        <w:t>GE Cour de justice, 2023-01-17, FR</w:t>
      </w:r>
    </w:p>
    <w:p>
      <w:r>
        <w:rPr>
          <w:b/>
        </w:rPr>
        <w:t xml:space="preserve">Quelle: </w:t>
      </w:r>
      <w:r>
        <w:t>https://mcp.opencaselaw.ch/entscheid/ge_gerichte_ATA_38_2023</w:t>
      </w:r>
    </w:p>
    <w:p>
      <w:r>
        <w:t>FR: GE_GERICHTE ATA/38/2023 du 17 janvier 2023</w:t>
      </w:r>
    </w:p>
    <w:p>
      <w:r>
        <w:t>IT: GE_GERICHTE ATA/38/2023 del 17 gennaio 2023</w:t>
      </w:r>
    </w:p>
    <w:p>
      <w:pPr>
        <w:pStyle w:val="Heading2"/>
      </w:pPr>
      <w:r>
        <w:t>Regeste</w:t>
      </w:r>
    </w:p>
    <w:p>
      <w:r>
        <w:t>Résumé: Contestation par l’AFC-GE d’un jugement du TAPI annulant des reprises effectuées par l'AFC-GE dans la taxation de la société au titre de capital propre dissimulé, des prêts ayant été octroyés par Tamedia, en même temps que cette dernière devenait actionnaire majoritaire de la contribuable. Pour analyser la question de l’existence ou non de capital propre dissimulé, il convient d’examiner si le prêt a été octroyé par un actionnaire ou un proche de la société. Or, de manière concomitante, le prêt a été octroyé au même moment ou Tamedia devenait actionnaire, à des conditions plus favorables (taux d’intérêt) pour la contribuable que le prêt qu’elle avait précédemment obtenu d’un tiers absolu, et donc octroyé en raison de la position de Tamedia. La société n’a pas démontré que les conditions du prêt étaient conformes au marché. Il s’agit donc d’un capital dissimulé, dont la contribuable n’a pas contesté le montant. Recours de l’AFC-GE admis et annulation du jugement du TAPI. Les décisions sur réclamation de l’AFC-GE seront rétablies.</w:t>
      </w:r>
    </w:p>
    <w:p>
      <w:pPr>
        <w:pStyle w:val="Heading2"/>
      </w:pPr>
      <w:r>
        <w:t>Erwägungen</w:t>
      </w:r>
    </w:p>
    <w:p>
      <w:r>
        <w:rPr>
          <w:b/>
        </w:rPr>
        <w:t>E. 25</w:t>
      </w:r>
    </w:p>
    <w:p>
      <w:r>
        <w:t>avril 2022. Ainsi, déposé auprès du guichet de la chambre de céans le 25 avril 2022, le recours est recevable. Le fait que ledit jugement ait été notifié le 23 mars 2022 à l'intimée n'y change rien. Cela ne remet pas non plus en cause la date de réception précitée auprès de l'autorité fiscale, dans la mesure où le TAPI a envoyé ce jugement par courrier recommandé à la contribuable et par courrier interne à l'AFC-GE. Le mode d'acheminement différent explique la différence d'un jour invoquée par l'intimée. 2)</w:t>
      </w:r>
    </w:p>
    <w:p>
      <w:r>
        <w:t>Le litige porte sur le bien-fondé de l’annulation par le TAPI de la reprise dans la taxation de l’ICC 2018 de la contribuable au titre de capital propre dissimulé, ainsi que les intérêts y relatifs. La recourante conteste en particulier l’analyse du TAPI s’agissant des personnes ayant octroyé les prêts litigieux, qui, pour elle, sont des actionnaires de la société.</w:t>
      </w:r>
    </w:p>
    <w:p>
      <w:r>
        <w:t>a. Selon l'art. 27 de la loi sur l’imposition des personnes morales du 23 septembre 1994 (LIPM - D 3 15), l'impôt sur le capital a pour objet le capital propre. Le capital propre imposable des sociétés de capitaux et des sociétés coopératives comprend le capital-actions et le capital-participation ou le capital social libéré, les réserves ouvertes et les réserves latentes constituées au moyen de bénéfices imposés (art. 28 al. 1 LIPM).</w:t>
      </w:r>
    </w:p>
    <w:p>
      <w:r>
        <w:t>b. L’art. 30 LIPM, intitulé capital propre dissimulé, prévoit que le capital propre imposable des sociétés de capitaux et des sociétés coopératives est augmenté de la part de leurs fonds étrangers qui est économiquement assimilable au capital propre.</w:t>
      </w:r>
    </w:p>
    <w:p>
      <w:r>
        <w:t>D’après les travaux préparatoires concernant l’art. 30 LIPM, cette disposition est destinée à « lutter contre la sous-capitalisation et sert à éviter que des ayants droit économiques d'une société de capitaux […] ne perçoivent un bénéfice de cette entité sous forme d'intérêts. Étant donné que ces derniers sont considérés comme une charge déductible du résultat de la société débitrice, ce moyen permettrait, en l'absence de correction fiscale, d'éluder la règle selon laquelle le bénéfice à disposition des actionnaires doit provenir du bénéfice net soumis à l'impôt sur le bénéfice de la personne morale. Le critère permettant de définir si l'on est en présence d'un financement étranger authentique est celui de savoir si un tiers indépendant aurait exposé des fonds aux mêmes risques que le créancier-actionnaire. Sur cette base, le législateur fédéral a introduit […] dans la</w:t>
      </w:r>
    </w:p>
    <w:p>
      <w:r>
        <w:t>- 10/17 - A/1619/2021 loi fédérale sur l’harmonisation des impôts directs des cantons et des communes du 14 décembre 1990 (LHID - RS 642.14 ; art. 29 al. 3) […] une clause générale permettant de considérer comme des fonds propres imposables la part de fonds étrangers (prêts, endettement) qui est économiquement assimilable à des fonds propres » (Mémorial des séances du Grand Conseil de la République et canton de Genève, 1995/IV, séance 35, pp. 4185-4189 ; ATA/435/2008 du 27 août 2008 consid. 4b).</w:t>
      </w:r>
    </w:p>
    <w:p>
      <w:r>
        <w:t>Il peut y avoir un avantage important, pour une société de capitaux, à disposer des fonds nécessaires sous forme de prêt de l'actionnaire plutôt que de fonds propres, puisque les intérêts passifs dus sont déductibles du bénéfice imposable. Fiscalement, ce procédé n'est toutefois pas admis lorsque le prêt joue économiquement le rôle de fonds propres et qu'ainsi des intérêts passifs déductibles sont payés à l'actionnaire en lieu et place de dividendes (non déductibles) qui ne peuvent l'être. Ces fonds étrangers sont alors traités comme du capital propre dissimulé et les intérêts y relatifs ajoutés au bénéfice imposable. 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(arrêt du Tribunal fédéral 2C_419/2015 du 3 juin 2016 consid. 4.1.1, non publié aux ATF 142 II 355).</w:t>
      </w:r>
    </w:p>
    <w:p>
      <w:r>
        <w:t>c. Selon la circulaire no 6 relative au capital propre dissimulé, la proportion d’endettement admissible, tout comme le montant du capital propre dissimulé, se détermine à la lumière de la valeur vénale des actifs. Cette pratique se justifie, car il s’agit de déterminer si les dettes de la société correspondent à sa réelle capacité d’emprunt, ce qui ne peut être décidé qu’au regard de la valeur actuelle de ses actifs. L’autorité de taxation se fondera ainsi sur la valeur vénale des actifs si celle-ci est plus élevée (réserves latentes) que la valeur comptable fiscalement déterminante et peut être démontrée par le contribuable. En second lieu, la proportion d’endettement admissible est fonction de la nature des actifs de la société. Selon l’AFC-CH, il y a lieu de considérer qu’une société peut obtenir, par ses propres moyens, des fonds étrangers à concurrence des pourcentages d’endettement admissible de la valeur de ses actifs mentionnés dans la circulaire précitée (Robert DANON, Commentaire romand de la loi fédérale sur l’impôt fédéral direct, art. 65, § 15 et 16, p. 1260-1261). Ainsi, selon celle-ci, l’endettement admissible en rapport avec des prêts se monte à 85 %.</w:t>
      </w:r>
    </w:p>
    <w:p>
      <w:r>
        <w:t>Selon le Tribunal fédéral (arrêt 2C_814/2015 du 20 avril 2017 consid. 7.4), pour établir si et dans quelle mesure une société possède du capital propre dissimulé, la circulaire n° 6 prévoit qu'il faut partir de la valeur vénale des actifs et fixer sur cette base les fonds étrangers que la société peut obtenir par ses propres</w:t>
      </w:r>
    </w:p>
    <w:p>
      <w:r>
        <w:t>- 11/17 - A/1619/2021 moyens sous la forme d'un tableau. Dans ce tableau, est attribué à chaque catégorie d'actifs un pourcentage de sa valeur vénale représentant le montant maximum que la société pourrait obtenir d'un tiers (circulaire n° 6, ch. 2.1). En particulier, les « prêts » sont supposés permettre à la société qui en est propriétaire d'obtenir des fonds étrangers à concurrence de 85 % de leur valeur vénale. La différence entre le prêt (dette) au bilan et le montant maximum ainsi déterminé, dans la mesure où les moyens en question ont été fournis par des détenteurs de parts ou des personnes qui leur sont proches, représente le capital propre dissimulé. Concernant l'origine du financement étranger, la circulaire retient que «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 » (circulaire n° 6, ch. 2.1).</w:t>
      </w:r>
    </w:p>
    <w:p>
      <w:r>
        <w:t>d. En pratique, la problématique du capital propre dissimulé concerne avant tout les prêts accordés directement par l'actionnaire ou un proche, dans une mesure qui excède ce qu'un tiers aurait fourni, cet écart s'expliquant par les liens de participation. L'existence de capital propre dissimulé peut néanmoins se poser lorsqu'un tiers fournit le prêt. La circulaire n° 6 envisage à cet égard deux cas de figure. Dans le premier, le prêt est accordé directement par le tiers, mais indirectement par l'actionnaire ou le proche. Cette situation se présente lorsque le tiers n'intervient que comme un intermédiaire, les fonds provenant en réalité du porteur de parts ou du proche. Dans le second cas de figure, le prêt est accordé par un tiers et est « garanti » par l'actionnaire ou le proche. La circulaire n° 6 adopte à cet égard une formulation négative en indiquant qu' « il n'y a pas de capital propre dissimulé si le capital étranger est fourni par des tiers indépendants et que ni les détenteurs de parts, ni des personnes qui leur sont proches ne le garantissent » (circulaire n° 6, ch. 2.1), étant rappelé que la preuve qu'un rapport concret de financement est conforme au marché reste réservée (circulaire n° 6, ch. 2.1 in fine). Lu a contrario, ce passage signifie que la garantie fournie par l'actionnaire ou un proche pour un prêt accordé par un tiers doit être assimilée à un prêt de l'actionnaire ou du proche (ATF 142 II 355 consid. 7.1).</w:t>
      </w:r>
    </w:p>
    <w:p>
      <w:r>
        <w:t>L'assimilation de la garantie fournie par l'actionnaire ou le proche à la mise à disposition de fonds par celui-ci est conforme à l'art. 65 LIFD si cette garantie joue économiquement le rôle d'un prêt. Tel peut être le cas si la fortune personnelle de l'actionnaire ou du proche est mise à contribution comme substrat de responsabilité (« Haftungssubstrat ») en contrepartie du prêt accordé par le tiers. Dans une telle situation, la garantie peut être assimilée à un prêt du proche. La société peut toutefois apporter la preuve que le rapport de financement est conforme au marché (circulaire n° 6, ch. 2.1 in fine). Par ailleurs, si une société</w:t>
      </w:r>
    </w:p>
    <w:p>
      <w:r>
        <w:t>- 12/17 - A/1619/2021 obtient le prêt par ses propres moyens (par exemple par la mise en gage de ses actifs d'une manière conforme au marché), il n'y a en principe pas de capital propre dissimulé, la garantie du proche apparaissant superfétatoire sur le plan économique (ATF 142 II 355 consid. 7.2).</w:t>
      </w:r>
    </w:p>
    <w:p>
      <w:r>
        <w:t>Il découle de ce qui précède que lorsqu'un prêt accordé par un tiers fait l'objet de garanties réelles portant sur des actifs de la société emprunteuse et qu'en sus, l'actionnaire ou un proche est débiteur solidairement responsable du prêt, il faut déterminer dans quelle mesure la garantie personnelle fournie remplit économiquement la fonction de capital propre. Tel peut être le cas lorsque la garantie réelle est insuffisante pour garantir à elle seule le montant du prêt accordé, car en pareille situation, il faut présumer que la part du prêt qui dépasse le montant couvert par la garantie réelle a été accordée en raison de la garantie personnelle fournie par l'actionnaire, la preuve que le financement concret est conforme aux conditions du marché restant réservée (ATF 142 II 355 consid. 7.3).</w:t>
      </w:r>
    </w:p>
    <w:p>
      <w:r>
        <w:t>e.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du cas par cas (Pierre MOOR/Alexandre FLÜCKIGER/ Vincent MARTENET, Droit administratif, vol. I, 3ème éd., 2012, p. 426-427).</w:t>
      </w:r>
    </w:p>
    <w:p>
      <w:r>
        <w:t>f. S’agissant de la question de la postposition, interprétant l'art. 29a LHID à la lumière du principe de l'imposition selon la capacité contributive (art. 127 al. 2 de la Constitution fédérale de la Confédération suisse du 18 avril 1999 - Cst. - RS 101), le Tribunal fédéral a retenu que le fait que des dettes avaient fait l'objet d'une convention de postposition au sens de l'art. 725 al. 2 de la loi fédérale du 30 mars 1911, complétant le Code civil suisse (CO, Code des obligations - RS 220) ne changeait rien à la qualification de capital propre dissimulé (arrêts du Tribunal fédéral 2C_77/2012 du 31 août 2012 consid. 3.4 ; 2C_259/2008 du 6 novembre 2008 consid. 2.5.3). Le fait que des dettes aient fait l'objet d'une convention de postposition justifiait même d'autant plus de les assimiler à du capital propre, tant selon la jurisprudence que la doctrine (arrêt du Tribunal fédéral 2C_77/2012</w:t>
      </w:r>
    </w:p>
    <w:p>
      <w:r>
        <w:t>- 13/17 - A/1619/2021 précité consid. 3.4 ; Robert DANON, in Commentaire romand, LIFD, 2017 no 17 ad art. 65 LIFD). En effet, une telle convention, généralement conclue avec des actionnaires ou des personnes proches, avait pour effet qu'en cas de faillite, la société devait désintéresser les titulaires des créances postposées seulement après avoir intégralement réglé tous ses autres engagements (art. 725 al. 2 CO), mais avant les actionnaires (arrêt du Tribunal fédéral 2C_77/2012 précité consid. 3.4).</w:t>
      </w:r>
    </w:p>
    <w:p>
      <w:r>
        <w:t>D'un point de vue économique, les dettes postposées se rapprochent ainsi du capital propre (Robert DANON, in Commentaire romand, LIFD, 2017, no 17 ad art. 65 LIFD).</w:t>
      </w:r>
    </w:p>
    <w:p>
      <w:r>
        <w:t>g.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w:t>
      </w:r>
    </w:p>
    <w:p>
      <w:r>
        <w:t>h.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3)</w:t>
      </w:r>
    </w:p>
    <w:p>
      <w:r>
        <w:t>En l’espèce, le TAPI a considéré que les prêts mentionnés comme conditions à remplir dans le contrat d’achat d’actions de juillet 2017 avaient été accordés par des tiers indépendants.</w:t>
      </w:r>
    </w:p>
    <w:p>
      <w:r>
        <w:t>- 14/17 - A/1619/2021</w:t>
      </w:r>
    </w:p>
    <w:p>
      <w:r>
        <w:t>Ce raisonnement ne saurait être suivi. Ainsi que le fait valoir la recourante, les quatre actionnaires – personnes physiques – avaient incontestablement la qualité d’actionnaires de l’intimée. Or, le TAPI n’a pas relevé cet élément qui résulte pourtant des pièces du dossier, en particulier de l’Annexe A du contrat du 17 juillet 2017. Les quatre actionnaires – personnes physiques – étaient déjà actionnaires avant l’entrée de G______ dans le capital-actions de la contribuable, et ils le sont tous restés par la suite. Pour ce motif déjà, le jugement du TAPI du 21 mars 2022 doit être annulé.</w:t>
      </w:r>
    </w:p>
    <w:p>
      <w:r>
        <w:t>À cela s’ajoute que s’agissant de G______, il n’est pas contesté que celle-ci est devenue actionnaire de la société au moment du « closing », soit le</w:t>
      </w:r>
    </w:p>
    <w:p>
      <w:r>
        <w:rPr>
          <w:b/>
        </w:rPr>
        <w:t>E. 28</w:t>
      </w:r>
    </w:p>
    <w:p>
      <w:r>
        <w:t>février 2018, de sorte que le montant versé à cette même date, au titre de prêt, selon les conditions qui figurent dans le contrat, doit être qualifié de prêt d’actionnaire. Contrairement à ce que retient le jugement querellé, le fait que le prix d’achat des actions corresponde au prix du marché n’est pas un élément déterminant dans le cadre de la qualification du prêt de G______ de capital propre dissimulé, et ne figure ni dans la jurisprudence ni dans la circulaire no 6. Est au contraire décisif le fait que le prêt de la part des actionnaires et la vente des actions étaient interdépendants, ce qui ressort des termes du contrat, et en particulier des clauses 4.3.1 et 4.3.3, et ces deux opérations devaient donc s’envisager comme une transaction globale.</w:t>
      </w:r>
    </w:p>
    <w:p>
      <w:r>
        <w:t>L’intimée tente en vain de soutenir que « plutôt qu’un prêt conditionné à l’acquisition d’actions (où G______ n’aurait pas accordé le prêt sans devenir actionnaire majoritaire), le contrat [faisait] état d’une vente d’actions subordonnée au prêt de G______ (les actionnaires n’auraient pas vendu leurs actions en l’absence du prêt) ». Cette distinction n’a pas de portée au regard de la circulaire no 6 : au contraire, cet argument souligne uniquement l’interdépendance des deux actions, et par conséquent le fait que le prêt ait été octroyé en raison de la position d’actionnaire de G______, ce qui tend à démontrer que la société ne pouvait pas obtenir de financement similaire, à un même taux d’intérêt, de la part d’un tiers. L’intimée a également indiqué dans sa réclamation que G______ n’était intéressée à financer la société qu’à la condition de devenir l’actionnaire majoritaire de cette dernière, ce qui indique que le prêt n’a été octroyé qu’en raison de la position de G______, devenue, de manière concomitante à l’octroi du prêt, l’actionnaire majoritaire de la société, en acquérant 52,3 % des actions.</w:t>
      </w:r>
    </w:p>
    <w:p>
      <w:r>
        <w:t>L’intimée fait valoir que toutes les conditions du prêt (montants, intérêts, échéances) accordé par G______ avaient été négociées avant la conclusion du contrat de vente d’actions du 17 juillet 2017, à une époque où G______ était un tiers absolu par rapport à la société et à ses actionnaires. Or, outre que cet élément ne ressort pas des pièces figurant au dossier, il ne change rien au fait que G______ est devenue actionnaire de la société le 28 février 2018 au plus tard, et qu’ainsi, au</w:t>
      </w:r>
    </w:p>
    <w:p>
      <w:r>
        <w:t>- 15/17 - A/1619/2021</w:t>
      </w:r>
    </w:p>
    <w:p>
      <w:r>
        <w:rPr>
          <w:b/>
        </w:rPr>
        <w:t>E. 31</w:t>
      </w:r>
    </w:p>
    <w:p>
      <w:r>
        <w:t>décembre 2018, date déterminante pour le calcul du capital propre dissimulé, elle était bien actionnaire de l’intéressée.</w:t>
      </w:r>
    </w:p>
    <w:p>
      <w:r>
        <w:t>En outre, la contribuable soutient que le prêt accordé par G______ a été octroyé aux mêmes conditions que celui qui avait été consenti par B______. Or, celle-ci avait été considérée comme un tiers absolu. Il appert toutefois que le prêt de G______ est plus favorable pour la contribuable, s’agissant en particulier du taux d’intérêt, ce que celle-ci admet d’ailleurs dans ses observations du 23 juin 2022. De telles conditions ne peuvent s’expliquer que par les liens d’actionnariat liés au contrat de vente et d’achat d’actions. L’intimée n’a du reste pas démontré devant la chambre de céans qu’un tiers aurait accordé un tel prêt, aux mêmes conditions que G______, et donc que celui-ci serait conforme aux conditions du marché.</w:t>
      </w:r>
    </w:p>
    <w:p>
      <w:r>
        <w:t>Enfin, comme le soutient la recourante, il ressort du dossier, en particulier de la page 4 de l’annexe aux comptes 2018 jointe à la déclaration fiscale de la contribuable pour l’année 2018, qu’une partie des créances des actionnaires avait été postposée (chiffre 9 de l’annexe, intitulé « subordination de la dette »). Or, conformément à la jurisprudence précitée, cela soutient d’autant plus la conclusion selon laquelle les prêts doivent être considérés comme du capital propre. Comme le retient l’AFC-GE sans être contredite par la contribuable, il n’apparaît d’ailleurs pas que cette situation soit temporaire, le montant des prêts postposés ayant augmenté en 2019 par rapport à 2018 (passant de 25,5 % en 2018 à 37,2 % en 2019).</w:t>
      </w:r>
    </w:p>
    <w:p>
      <w:r>
        <w:t>Enfin, il sera souligné que les montants repris au titre d’intérêts pour capital propre dissimulé n’ont pas été contestés, ni dans leur calcul ni dans leur quotité par l’intimée et sont par ailleurs conformes aux pièces du dossier.</w:t>
      </w:r>
    </w:p>
    <w:p>
      <w:r>
        <w:t>Dans ces conditions, il n’était pas possible de dissocier, comme l’a fait le TAPI, les deux opérations, et de considérer que le prêt octroyé par G______ était antérieur à l’achat d’actions. Il en va d’ailleurs de même du prêt accordé par les quatre actionnaires – personnes physiques –, qui étaient déjà actionnaires de la société au moment de la conclusion du contrat d’achat d’actions du 17 juillet 2017.</w:t>
      </w:r>
    </w:p>
    <w:p>
      <w:r>
        <w:t>Dans ces circonstances, le recours sera admis, le jugement du TAPI du 21 mars 2022 annulé et les décisions sur réclamation du 31 mars 2021 seront rétablies. 4)</w:t>
      </w:r>
    </w:p>
    <w:p>
      <w:r>
        <w:t>Vu l'issue du litige, un émolument de procédure de CHF 1'000.- sera mis à la charge de l’intimée, laquelle a conclu au rejet du recours (art. 87 al. 1 LPA). Aucune indemnité de procédure ne sera allouée, l'autorité recourante ayant recouru dans son propre intérêt et disposant de son service juridique (art. 87 al. 2 LPA).</w:t>
      </w:r>
    </w:p>
    <w:p>
      <w:r>
        <w:t>- 16/17 - A/1619/2021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