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ATA/38/2017 vom 17. Januar 2017</w:t>
      </w:r>
    </w:p>
    <w:p>
      <w:r>
        <w:t>GE Cour de justice, 2017-01-17, FR</w:t>
      </w:r>
    </w:p>
    <w:p>
      <w:r>
        <w:rPr>
          <w:b/>
        </w:rPr>
        <w:t xml:space="preserve">Quelle: </w:t>
      </w:r>
      <w:r>
        <w:t>https://mcp.opencaselaw.ch/entscheid/ge_gerichte_ATA_38_2017</w:t>
      </w:r>
    </w:p>
    <w:p>
      <w:r>
        <w:t>FR: GE_GERICHTE ATA/38/2017 du 17 janvier 2017</w:t>
      </w:r>
    </w:p>
    <w:p>
      <w:r>
        <w:t>IT: GE_GERICHTE ATA/38/2017 del 17 gennaio 2017</w:t>
      </w:r>
    </w:p>
    <w:p>
      <w:pPr>
        <w:pStyle w:val="Heading2"/>
      </w:pPr>
      <w:r>
        <w:t>Regeste</w:t>
      </w:r>
    </w:p>
    <w:p>
      <w:r>
        <w:t>Résumé: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 ont été mises sur pied afin de pouvoir artificiellement bénéficier de cette pratique. Il y a eu tentatives de fraude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w:t>
      </w:r>
    </w:p>
    <w:p>
      <w:pPr>
        <w:pStyle w:val="Heading2"/>
      </w:pPr>
      <w:r>
        <w:t>Erwägungen</w:t>
      </w:r>
    </w:p>
    <w:p>
      <w:r>
        <w:rPr>
          <w:b/>
        </w:rPr>
        <w:t>E. 26</w:t>
      </w:r>
    </w:p>
    <w:p>
      <w:r>
        <w:t>septembre 2010 - LOJ - E 2 05 ; art. 62 al. 1 let. a de la loi sur la procédure administrative du 12 septembre 1985 - LPA - E 5 10). 2)</w:t>
      </w:r>
    </w:p>
    <w:p>
      <w:r>
        <w:t>Le recours porte sur la conformité au droit du jugement du TAPI confirmant les vingt-et-un arrêtés du DALE prononçant implicitement la soumission des actes de transfert à autorisation d’aliéner et refusant la délivrance desdites autorisations. 3)</w:t>
      </w:r>
    </w:p>
    <w:p>
      <w:r>
        <w:t>Les recourants reprochent au TAPI et au DALE d’avoir retenu que les actes de transfert étaient soumis à autorisation.</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- 12/23 - A/3233/2015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 13 janvier 2017 - ArAppart - L 5 20.03).</w:t>
      </w:r>
    </w:p>
    <w:p>
      <w:r>
        <w:t>d. Selon la jurisprudence de la chambre administrative, la vente d'un appartement est soumise à autorisation pour autant que ce dernier entre, du fait de son loyer ou de son type, dans une catégorie de logements où sévit la pénurie (ATA/701/2016 du 23 août 2016 consid. 3d ; ATA/356/2012 du 5 juin 2012 consid. 8d et 10 ; ATA/826/2001 du 11 décembre 2001 consid. 3b).</w:t>
      </w:r>
    </w:p>
    <w:p>
      <w:r>
        <w:t>e. En l’espèce, il n’est pas contesté que les appartements concernés par les actes de transfert – situés dans un immeuble d'habitation en troisième zone de construction et donc assujettis à la LDTR (art. 2 LDTR) – entrent, par leur nombre de pièces, dans des catégories de logements où sévit la pénurie et ont été offerts à la location, de sorte que leur aliénation est en principe soumise à autorisation. 4)</w:t>
      </w:r>
    </w:p>
    <w:p>
      <w:r>
        <w:t>Les recourants font cependant grief au TAPI de n’avoir pris en compte ni la pratique de l’autorité intimée, ni l’absence d’aliénation – s’agissant de transferts de la propriété juridique aux propriétaires économiques –, éléments qui auraient</w:t>
      </w:r>
    </w:p>
    <w:p>
      <w:r>
        <w:t>- 13/23 - A/3233/2015 tous deux dû conduire l’instance précédente à retenir que les actes de transfert n’étaient pas soumis à autorisation.</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 ATA/20/2015 du 6 janvier 2015 consid. 9).</w:t>
      </w:r>
    </w:p>
    <w:p>
      <w:r>
        <w:t>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du 9 juin 2015 consid. 7d ; ATA/857/2014 du 4 novembre 2014 consid. 4).</w:t>
      </w:r>
    </w:p>
    <w:p>
      <w:r>
        <w:t>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(ATA/834/2016 du 4 octobre 2016 consid. 3a ; ATA/240/2013 du 16 avril 2013 consid. 2a ; Thierry TANQUEREL, Manuel de droit administratif, 2011, p. 204 n. 603 et les arrêts cités)</w:t>
      </w:r>
    </w:p>
    <w:p>
      <w:r>
        <w:t>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w:t>
      </w:r>
    </w:p>
    <w:p>
      <w:r>
        <w:t>- 14/23 - A/3233/2015 la construction destinée à la contourner (arrêts du Tribunal fédéral 2C_751/2014 précité consid. 4.1 ; 4A_609/2012 du 26 février 2013 consid. 3).</w:t>
      </w:r>
    </w:p>
    <w:p>
      <w:r>
        <w:t>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arrêts du Tribunal fédéral 2C_751/2014 précité consid. 4.1).</w:t>
      </w:r>
    </w:p>
    <w:p>
      <w:r>
        <w:t>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w:t>
      </w:r>
    </w:p>
    <w:p>
      <w:r>
        <w:t>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5)</w:t>
      </w:r>
    </w:p>
    <w:p>
      <w:r>
        <w:t>Dans la cause A/115/2013, dans laquelle l’AB______ (ci-après : AB______) alléguait une fraude à la loi en relation avec la pratique de l’autorité</w:t>
      </w:r>
    </w:p>
    <w:p>
      <w:r>
        <w:t>- 15/23 - A/3233/2015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(ATA/947/2014 du 2 décembre 2014 consid. 12 en fait ; Guy FLATTET, Les sociétés immobilières d’actionnaires- locataires, JdT 1949 I 610 ; Peter FORSTMOSER/Arthur MEIER-HAYOZ, Einführung in das schweizerische Aktienrecht, 3ème éd., 1983, n. 45 p.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(ATA/947/2014 précité consid. 12 en fait). La chambre administrative avait dans ce cas renvoyé la cause au DALE pour qu’il examine l’applicabilité de l’art. 39 LDTR et constate s’il existait ou non une fraude à loi (ATA/947/2014 précité consid. 17). Elle avait par ailleurs fait de même dans un deuxième arrêt du même jour, affaire dans le cadre de laquelle le DALE n’avait cependant pas formulé d’observations (ATA/948/2014 du 2 décembre 2014 consid. 17). 6)</w:t>
      </w:r>
    </w:p>
    <w:p>
      <w:r>
        <w:t>En l’espèce, la pratique instaurée depuis 1995 et dont la suspension a été annoncée en avril 2014 n’est pas contestée par l’autorité intimée. La chambre administrative a au demeurant déjà été amenée à constater l’existence de ladite pratique dans une cause à laquelle A______ était partie (ATA/817/2014 précité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 dans ce cas en mains des mêmes détenteurs économiques, les détenteurs des certificats d'actions devenant simplement « propriétaires en nom » des biens immobiliers. Il ne s’agissait ainsi pas d’une vente d’appartement impliquant un changement de propriétaire mais d’un simple changement de régime juridique, non soumis à autorisation (ATA/817/2014 précité consid. 16).</w:t>
      </w:r>
    </w:p>
    <w:p>
      <w:r>
        <w:t>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(ATA/817/2014 précité consid. 18), les arrêtés rendus suite à ce contrôle ont consacré un changement de pratique, puisqu’il n’est désormais plus automatiquement retenu l’absence de l’aliénation</w:t>
      </w:r>
    </w:p>
    <w:p>
      <w:r>
        <w:t>- 16/23 - A/3233/2015 au sens de l’art. 39 al. 1 LDTR dans les cas de liquidation d’une SIAL avec transformation des cessionnaires détenteurs de certificats d'actions en propriétaires d'unités d'étages.</w:t>
      </w:r>
    </w:p>
    <w:p>
      <w:r>
        <w:t>Ainsi, le changement de pratique réside dans le fait que désormais, même dans le cas de figure visé par l’ancienne pratique de l’autorité intimée – soit de liquidation d’une SIAL avec transfert des unités d’étages aux actionnaires- locataires –, le dossier doit être soumis au DALE pour examen de l’assujettissement ou non à autorisation d’aliéner et, cas échéant, des conditions de délivrance d’une telle autorisation, préalablement à toute réquisition au RF. 7)</w:t>
      </w:r>
    </w:p>
    <w:p>
      <w:r>
        <w:t>Il convient dès lors d’examiner si ce changement de pratique est conforme au droit.</w:t>
      </w:r>
    </w:p>
    <w:p>
      <w:r>
        <w:t>L’autorité intimée est revenue sur sa pratique en raison d’un changement des circonstances extérieures, soit l’existence de cas nouveaux, dans lesquels, par la succession de diverses opérations, se terminant par la liquidation d’une SIAL de création récente – postérieure à l’adoption des dispositions sur la PPE -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w:t>
      </w:r>
    </w:p>
    <w:p>
      <w:r>
        <w:t>Or, ces circonstances nouvelles de tentatives de fraudes à la loi sont avérées, le cas d’espèce lui-même les illustrant.</w:t>
      </w:r>
    </w:p>
    <w:p>
      <w:r>
        <w:t>En effet, après que A______ avait acquis l’immeuble en 2003 et alors que ce dernier était soumis au régime de la PPE depuis 2007, en février 2013, M. Y______, en sa qualité d’actionnaire de la société, a vendu ses actions à différents cessionnaires. Un mois après qu’il en était devenu, en avril 2013, administrateur président, les statuts de A______ ont été modifiés, en mai 2013, pour qu’elle devienne une SIAL, chacun des actionnaires ayant désormais un droit de location des appartements correspondant à ses certificats d’actions, conformément au tableau de concordance. Moins d’un an plus tard, en février et mars 2014, les actes de transfert ont été conclus, prévoyant le transfert des lots de PPE aux actionnaires en fonction des certificats d’actions qu’ils détenaient, ceci en comptant sur le fait que ces transferts ne seraient pas soumis à autorisation d’aliéner, comme l’indique la disposition concernant la LDTR contenue dans chaque acte de transfert.</w:t>
      </w:r>
    </w:p>
    <w:p>
      <w:r>
        <w:t>Au cours de ces différentes étapes, à suivre l’argumentation des recourants, aucune autorisation d’aliéner n’aurait jamais dû être sollicitée. Cette succession d’opérations visait pourtant clairement à aboutir à des aliénations au sens de l’art. 39 LDTR, puisqu’elle tendait à obtenir au final le transfert de la propriété de</w:t>
      </w:r>
    </w:p>
    <w:p>
      <w:r>
        <w:t>- 17/23 - A/3233/2015 chacun des appartements en cause de A______ aux acquéreurs et à les faire inscrire au RF en tant que propriétés individualisées.</w:t>
      </w:r>
    </w:p>
    <w:p>
      <w:r>
        <w:t>Ainsi,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w:t>
      </w:r>
    </w:p>
    <w:p>
      <w:r>
        <w:t>Il apparaît ainsi évident que ces opérations successives – céder les actions d’une société propriétaire d’un immeuble à différents cessionnaires, pour créer une SIAL deux mois plus tard alors même que l’immeuble est soumis au régime de la PPE depuis plusieurs années, ceci pour liquider la SIAL nouvellement créée moins d’un an plus tard et transférer aux actionnaires-locataires les lots de PPE correspondant à leur certificats d’actions – ont été mises sur pied afin de pouvoir artificiellement bénéficier de la pratique de l’autorité intimée et ainsi se soustraire à l’art. 39 LDTR.</w:t>
      </w:r>
    </w:p>
    <w:p>
      <w:r>
        <w:t>Au vu de ce qui précède et de l’ensemble des circonstances du cas d’espèce, le TAPI a, à juste titre, constaté qu’il y avait eu tentatives de fraudes à la loi, visant l’aliénation d’appartements en se soustrayant à l’examen requis par l’art. 39 LDTR.</w:t>
      </w:r>
    </w:p>
    <w:p>
      <w:r>
        <w:t>Or, les tentatives de fraudes à la loi du cas d’espèce ne sont pas des cas isolés, comme le démontrent les causes A/3194/2015 et A/3314/2015, similaires – toutes concernent des sociétés dont M. Y______ est administrateur 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 de sorte qu’il existait une nécessité pour l’autorité intimée de changer sa pratique, afin de s’assurer que l’art. 39 LDTR ne puisse être éludé par la mise sur pied puis la liquidation d’une SIAL pour masquer des aliénations de parts de PPE correspondant à des appartements.</w:t>
      </w:r>
    </w:p>
    <w:p>
      <w:r>
        <w:t>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w:t>
      </w:r>
    </w:p>
    <w:p>
      <w:r>
        <w:t>Dans ces circonstances, le changement de pratique repose sur des motifs sérieux et objectifs et n’est pas contraire au principe de la bonne foi.</w:t>
      </w:r>
    </w:p>
    <w:p>
      <w:r>
        <w:t>Au surplus, si les recourants se plaignent d’une violation du principe de non-rétroactivité du fait de l’application du changement de pratique alors que les actes de transfert avaient déjà été conclus et les réquisitions d’inscription au RF</w:t>
      </w:r>
    </w:p>
    <w:p>
      <w:r>
        <w:t>- 18/23 - A/3233/2015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w:t>
      </w:r>
    </w:p>
    <w:p>
      <w:r>
        <w:t>Par conséquent, le changement de pratique, justifié par des tentatives de fraudes à la loi, est conforme au droit et l’instance précédente a, à bon droit, constaté que le transfert des lots de PPE aux acquéreurs constituait la dernière étape d’aliénations et était de ce fait soumis à autorisation.</w:t>
      </w:r>
    </w:p>
    <w:p>
      <w:r>
        <w:t>Les griefs des recourants relatifs à l’absence de fraude à la loi, à l’absence d’aliénation, à l’illégalité du changement de pratique, ainsi qu’à la violation des principes de l’interdiction de la rétroactivité et de la bonne foi en relation avec ledit changement de pratique seront écartés. 8)</w:t>
      </w:r>
    </w:p>
    <w:p>
      <w:r>
        <w:t>Il convient à présent d’examiner si les conditions de délivrance des autorisations d’aliéner étaient réalisées.</w:t>
      </w:r>
    </w:p>
    <w:p>
      <w:r>
        <w:t>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w:t>
      </w:r>
    </w:p>
    <w:p>
      <w:r>
        <w:t>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(ATA/1069/2016 du 20 décembre 2016 consid. 4a et les références citées).</w:t>
      </w:r>
    </w:p>
    <w:p>
      <w:r>
        <w:t>- 19/23 - A/3233/2015</w:t>
      </w:r>
    </w:p>
    <w:p>
      <w:r>
        <w:t>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w:t>
      </w:r>
    </w:p>
    <w:p>
      <w:r>
        <w:t>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w:t>
      </w:r>
    </w:p>
    <w:p>
      <w:r>
        <w:t>c. En l’espèce, aucun des cas de délivrance des autorisations d’aliéner selon l’art. 39 al. 4 LDTR n’est réalisé, de sorte qu’il convient de procéder à une pesée des intérêts conformément à l’art. 39 al. 2 LDTR. Les intérêts qui s'opposent sont, d'une part, les intérêts privés de A______ à transférer la propriété des appartements en cause aux acquéreurs et ceux de ces derniers à les acquérir ainsi que, d'autre part, l'intérêt public à la protection du parc locatif genevois.</w:t>
      </w:r>
    </w:p>
    <w:p>
      <w:r>
        <w:t>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w:t>
      </w:r>
    </w:p>
    <w:p>
      <w:r>
        <w:t>Les recourants ne remettent au demeurant aucunement en cause la pesée des intérêts effectuée par le TAPI. Certes, en relation avec des griefs relatifs aux</w:t>
      </w:r>
    </w:p>
    <w:p>
      <w:r>
        <w:t>- 20/23 - A/3233/2015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Les recourants n’invoquent au surplus pas d’autre fait particulier en relation avec leurs intérêts privés respectifs.</w:t>
      </w:r>
    </w:p>
    <w:p>
      <w:r>
        <w:t>Par conséquent, rien n’indique que le TAPI ait abusé de son pouvoir d’appréciation en retenant que l’intérêt public à la protection du parc locatif genevois était prépondérant et il a, à bon droit, confirmé que les conditions de délivrance des autorisations d’aliéner n’étaient pas réalisées. 9)</w:t>
      </w:r>
    </w:p>
    <w:p>
      <w:r>
        <w:t>Comme déjà mentionné, les recourants affirment toutefois que les autorisations d’aliéner auraient en tout état de cause dû être délivrées en application du principe de primauté du droit fédéral, le refus opposé par l’autorité intimée faisant obstacle à la liquidation de la SIAL, régie par les art. 736 ss de la loi fédérale complétant le CC (livre cinquième : droit des obligations) du 30 mars 1911 (code des obligations - CO - RS 220).</w:t>
      </w:r>
    </w:p>
    <w:p>
      <w:r>
        <w:t>a. Le principe de la primauté du droit fédéral découlant de l’art. 49 Cst.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ATA/1345/2015 du 15 décembre 2015 consid. 6a).</w:t>
      </w:r>
    </w:p>
    <w:p>
      <w:r>
        <w:t>b. La réglementation mise en place par la LDTR est en soi conforme au droit fédéral et à la garantie de la propriété (ATF 116 Ia 401 consid. 9 p. 414 ; arrêt du Tribunal fédéral 1C_617/2012 du 3 mai 2013 consid. 2.3).</w:t>
      </w:r>
    </w:p>
    <w:p>
      <w:r>
        <w:t>c. En l’espèce, les recourants n’ont pas développé leur grief malgré la constatation du TAPI de sa motivation insuffisante, et l’on ne discerne pas en quoi les refus de délivrance des autorisations sollicitées empêcheraient toute liquidation de A______ en tant que société anonyme et se heurteraient au principe de la primauté du droit fédéral.</w:t>
      </w:r>
    </w:p>
    <w:p>
      <w:r>
        <w:t>Au vu de ce qui précède, le grief, mal fondé, sera écarté et l’autorité intimée a, à juste titre, refusé de délivrer les vingt-et-une autorisations d’aliéner à A______.</w:t>
      </w:r>
    </w:p>
    <w:p>
      <w:r>
        <w:t>- 21/23 - A/3233/2015 10) Les recourants affirment que l’autorité intimée ne pouvait pas mettre à leur charge un émolument de CHF 330.- par arrêté.</w:t>
      </w:r>
    </w:p>
    <w:p>
      <w:r>
        <w:t>a. Le DALE perçoit un émolument de CHF 220.- à CHF 1'100.- pour toute décision rendue en application de l'art. 39 LDTR (art. 18 RDTR).</w:t>
      </w:r>
    </w:p>
    <w:p>
      <w:r>
        <w:t>b. En l’espèce, dans la mesure où les arrêtés de l’autorité intimée, conformes au droit, sont fondés sur l’art. 39 LDTR, c’est à juste titre qu’elle a fixé un émolument pour chaque décision ainsi prononcée.</w:t>
      </w:r>
    </w:p>
    <w:p>
      <w:r>
        <w:t>Si les recourants affirment que le montant de CHF 330.- par arrêté constituerait un émolument excessif, au regard du fait qu’il existe septante causes parallèles ayant abouti à des arrêtés similaires – en prenant en compte également les arrêtés dans les causes A/3194/2015 et A/3314/2015 –, il n’en demeure pas moins que, comme l’a constaté l’instance précédente, l’autorité intimée a dû, pour chaque demande d’autorisation, enregistrer la requête, ouvrir un dossier, l’instruire – en particulier en examinant les pièces propres à ce dossier –, et prononcer à chaque fois un arrêté distinct. L’émolument fixé se situant dans la fourchette inférieure des montants fixés par l’art. 18 RDTR, il n’apparaît pas excessif au vu du travail qui a ainsi dû être fourni.</w:t>
      </w:r>
    </w:p>
    <w:p>
      <w:r>
        <w:t>L’autorité intimée n’a dès lors pas abusé de son pouvoir d’appréciation en fixant l’émolument à CHF 330.- par arrêté et le grief sera écarté. 11) Dans ces circonstances, les vingt-et-un arrêtés rendus par l’autorité intimée sont conformes au droit et le recours contre le jugement du TAPI, entièrement mal fondé, sera rejeté. 12) Vu l’issue du litige, un émolument de CHF 2'000.- sera mis à la charge des recourants, pris conjointement et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