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ATA/38/2014 vom 21. Januar 2014</w:t>
      </w:r>
    </w:p>
    <w:p>
      <w:r>
        <w:t>GE Cour de justice, 2014-01-21, FR</w:t>
      </w:r>
    </w:p>
    <w:p>
      <w:r>
        <w:rPr>
          <w:b/>
        </w:rPr>
        <w:t xml:space="preserve">Quelle: </w:t>
      </w:r>
      <w:r>
        <w:t>https://mcp.opencaselaw.ch/entscheid/ge_gerichte_ATA_38_2014</w:t>
      </w:r>
    </w:p>
    <w:p>
      <w:r>
        <w:t>FR: GE_GERICHTE ATA/38/2014 du 21 janvier 2014</w:t>
      </w:r>
    </w:p>
    <w:p>
      <w:r>
        <w:t>IT: GE_GERICHTE ATA/38/2014 del 21 gennaio 2014</w:t>
      </w:r>
    </w:p>
    <w:p>
      <w:pPr>
        <w:pStyle w:val="Heading2"/>
      </w:pPr>
      <w:r>
        <w:t>Erwägungen</w:t>
      </w:r>
    </w:p>
    <w:p>
      <w:r>
        <w:rPr>
          <w:b/>
        </w:rPr>
        <w:t>E. 12</w:t>
      </w:r>
    </w:p>
    <w:p>
      <w:r>
        <w:t>septembre 1985 - LPA - E 5 10). 2)</w:t>
      </w:r>
    </w:p>
    <w:p>
      <w:r>
        <w:t>En vertu de l'art. 43 de la loi fédérale sur les étrangers du 16 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w:t>
      </w:r>
    </w:p>
    <w:p>
      <w:r>
        <w:t>Aux termes de l'art. 50 al. 1 LEtr, après dissolution de la famille, le droit du conjoint et des enfants à l'octroi d'une autorisation de séjour et à la prolongation de sa durée de validité en vertu des art. 42 et 43 LEtr subsiste dans les cas suivants : a. l'union conjugale a duré au moins trois ans et l'intégration est réussie ; b. la poursuite du séjour en Suisse s'impose pour des raisons personnelles majeures.</w:t>
      </w:r>
    </w:p>
    <w:p>
      <w:r>
        <w:t>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 de l’office fédéral des migrations - ODM - domaine des étrangers, 6, regroupement familial, p. 27 ch. 6.15.1 ; ATA/563/2013 du 28 août 2013 consid. 5).</w:t>
      </w:r>
    </w:p>
    <w:p>
      <w:r>
        <w:t>La limite légale de trois ans présente un caractère absolu et s’applique même s’il ne reste que quelques jours pour atteindre la durée de trente-six mois exigée</w:t>
      </w:r>
    </w:p>
    <w:p>
      <w:r>
        <w:t>- 5/10 - A/4280/2011 par l’art. 50 al. 1 let. a LEtr (ATF 137 II 345 consid. 3.1.3 p. 347 ; Arrêts du Tribunal fédéral 2C_735/2010 du 1er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 ATA/64/2013 du 6 février 2013). 3)</w:t>
      </w:r>
    </w:p>
    <w:p>
      <w:r>
        <w:t>En l'espèce, il est incontesté que la vie commune du recourant et de Mme M______ a duré du printemps 2008 à la fin de l'année 2009, soit moins de trois ans. La première condition d'application de l'art. 50 al. 1 LEtr n'est ainsi pas remplie. Il n'y a donc pas lieu d'examiner la seconde condition, cumulative, soit la qualité de l'intégration du recourant. 4)</w:t>
      </w:r>
    </w:p>
    <w:p>
      <w:r>
        <w:t>L'al. 2 de l'art. 50 LEtr, dans sa version antérieure au 1er juillet 2013, repris par l'art. 77 al. 2 de l'ordonnance relative à l'admission, au séjour et à l'exercice d'une activité lucrative du 24 octobre 2007 (OASA - RS 142.201), précise que les raisons personnelles majeures visées à l’al. 1 let. b sont notamment données lorsque le conjoint est victime de violence conjugale et que la réintégration sociale dans le pays de provenance semble fortement compromise. Depuis le 1er juillet 2013, la teneur de cet alinéa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w:t>
      </w:r>
    </w:p>
    <w:p>
      <w:r>
        <w:t>- 6/10 - A/4280/2011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 136 II 1 consid. 5.3). 5)</w:t>
      </w:r>
    </w:p>
    <w:p>
      <w:r>
        <w:t>Dans le cas présent, le recourant n'a pas été victime de violences conjugale et les éléments figurant au dossier ne permettent pas de retenir que la fin de l'union conjugale soit intervenue dans des circonstances relevantes pour l'application de la disposition légale susmentionnée.</w:t>
      </w:r>
    </w:p>
    <w:p>
      <w:r>
        <w:t>Par ailleurs, le recourant n'a pas établi que son intégration en Suisse, en particulier dans le canton de Genève serait telle que sa réintégration sociale en Côte d'Ivoire semble fortement compromise au sens de l'art. 50 al. 2 LEtr. En effet, il ne ressort pas des pièces produites que sa situation socio-professionnelle à Genève revête un caractère exceptionnel. Enfin, les allégations du recourant selon lesquelles, en cas de retour en Côte d'Ivoire, sa réintégration serait gravement compromise n'est fondée sur aucun élément de fait précis et concret. La plus grande partie de sa famille réside dans ce pays où lui-même a vécu la majeure partie de son existence. Le fait que la situation socio-économique de ce pays soit moins bonne qu'en Suisse et qu'il rencontrerait des conditions de vie plus difficiles qu'à Genève ne suffit pas à retenir l'existence de raisons personnelles majeures imposant la poursuite de son séjour en Suisse. La question n’est en effet pas de savoir si la vie du recourant serait plus facile en Suisse, mais seulement de savoir si un retour dans son pays d’origine entraînerait des difficultés de réadaptation insurmontables. L’intéressé ne démontre pas qu’il pourrait se trouver dans une telle situation.</w:t>
      </w:r>
    </w:p>
    <w:p>
      <w:r>
        <w:t>Au vu de ce qui précède, la condition des raisons personnelles majeures au sens de l'art. 50 al. 1 let. b LEtr n'est pas réalisée. C'est donc à juste titre que l'OCPM a refusé de renouveler ou maintenir l'autorisation de séjour du recourant. 6)</w:t>
      </w:r>
    </w:p>
    <w:p>
      <w:r>
        <w:t>Le recourant estime que sa situation personnelle justifie une dérogation aux conditions d’admission d’un étranger en Suisse.</w:t>
      </w:r>
    </w:p>
    <w:p>
      <w:r>
        <w:t>a. L’art. 30 al. 1 let. b LEtr permet de déroger aux conditions d'admission fixées aux articles 18 à 29 de ladite loi afin, notamment, de tenir compte des cas</w:t>
      </w:r>
    </w:p>
    <w:p>
      <w:r>
        <w:t>- 7/10 - A/4280/2011 individuels d'extrême gravité. Le législateur a donné au Conseil fédéral compétence de fixer les conditions générales des dérogations ainsi que d'en arrêter la procédure (art. 30 al. 2 LEtr).</w:t>
      </w:r>
    </w:p>
    <w:p>
      <w:r>
        <w:t>b. L’art. 31 al. 1 OASA fixe les critères dont il convient de tenir compte lors de l’appréciation des cas d’extrême gravité.</w:t>
      </w:r>
    </w:p>
    <w:p>
      <w:r>
        <w:t>En l’espèce, le recourant souhaite que son cas soit examiné sous l'angle d'une dérogation aux mesures de limitation de l'admission des étrangers en Suisse. Il a été mis au bénéfice d'une autorisation de séjour au titre du regroupement familial à la suite de son mariage, l'art. 42 al. 1 LEtr prévoyant que le conjoint étranger d'un ressortissant suisse a droit à l'octroi et à la prolongation d'une telle autorisation (ATF 128 II 145).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(ATA/244/2012 du 24 avril 2012 ; ATA/604/2010 du 1er septembre 2010).</w:t>
      </w:r>
    </w:p>
    <w:p>
      <w:r>
        <w:t>C'est donc à juste titre que le TAPI n'est pas entré en matière sur la demande de dérogation pour cas d'extrême gravité selon l’art. 30 al. 1 let. b LEtr présentée par le recourant, celui-ci, à supposer qu’il ait été atteint dans ses convictions religieuses par l’attitude de son épouse, n’en souffrant plus depuis leur séparation, le 8 ou le 9 mai 2009 (ATA/224/2013 du 9 avril 2013). 7)</w:t>
      </w:r>
    </w:p>
    <w:p>
      <w:r>
        <w:t>Selon l’art. 64 al. 1 let. c LEtr, tout étranger dont l’autorisation est refusée, révoquée ou qui n’est pas prolongée après un séjour autorisé est renvoyé. La décision de renvoi est assortie d’un délai de départ raisonnable (art. 64d al. 1 LEtr). 8)</w:t>
      </w:r>
    </w:p>
    <w:p>
      <w:r>
        <w:t>Le renvoi d’un étranger ne peut toutefois être ordonné que si l’exécution de celui-ci est possible, licite ou peut être raisonnablement exigé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(ATA/244/2012 du 24 avril 2012 ; ATA/750/2011 précité ; ATA/848/2010 du 30 novembre 2010).</w:t>
      </w:r>
    </w:p>
    <w:p>
      <w:r>
        <w:t>Le renvoi d’un étranger n’est pas possible lorsque celui-ci ne peut quitter la Suisse pour son Etat d’origine, son Etat de provenance ou un Etat tiers, ni être</w:t>
      </w:r>
    </w:p>
    <w:p>
      <w:r>
        <w:t>- 8/10 - A/4280/2011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le dossier ne permet pas de retenir que l'une ou l'autre des situations susmentionnées seraient réalisée. 9)</w:t>
      </w:r>
    </w:p>
    <w:p>
      <w:r>
        <w:t>Au vu de ce qui précède, le recours sera rejeté.</w:t>
      </w:r>
    </w:p>
    <w:p>
      <w:r>
        <w:t>Vu l'issue du litige, un émolument de CHF 400.-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