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ATA/389/2026 vom 21. April 2026</w:t>
      </w:r>
    </w:p>
    <w:p>
      <w:r>
        <w:t>GE Cour de justice, 2026-04-21, FR</w:t>
      </w:r>
    </w:p>
    <w:p>
      <w:r>
        <w:rPr>
          <w:b/>
        </w:rPr>
        <w:t xml:space="preserve">Quelle: </w:t>
      </w:r>
      <w:r>
        <w:t>https://mcp.opencaselaw.ch/entscheid/ge_gerichte_ATA_389_2026</w:t>
      </w:r>
    </w:p>
    <w:p>
      <w:r>
        <w:t>FR: GE_GERICHTE ATA/389/2026 du 21 avril 2026</w:t>
      </w:r>
    </w:p>
    <w:p>
      <w:r>
        <w:t>IT: GE_GERICHTE ATA/389/2026 del 21 aprile 2026</w:t>
      </w:r>
    </w:p>
    <w:p>
      <w:pPr>
        <w:pStyle w:val="Heading2"/>
      </w:pPr>
      <w:r>
        <w:t>Regeste</w:t>
      </w:r>
    </w:p>
    <w:p>
      <w:r>
        <w:t>Résumé: Rejet d’un recours contre la confirmation par le TAPI d’une autorisation de construire un habitat groupé sur une parcelle séparée de celle du recourant par une autre parcelle mais accessible par un chemin privé constitué grâce à une servitude de passage à tous usages grevant les deux premières au profit de la plus éloignée de la route sur laquelle le projet a été autorisé. Ce chemin n’est pas emprunté par le recourant qui a un accès direct à la route. Sa qualité pour recourir a été reconnue. Examen du grief de violation des art. 19 et 22 LAT, la parcelle concernée n’étant pas équipée selon le recourant en l’absence d’une voie d’accès suffisante tant sur le plan juridique que factuel. Sur le plan temporel, le droit fédéral exige que le projet de construction dispose au plus tard au moment de sa réalisation de l’accès nécessaire du moment qu’ils sont garantis sur le plan juridique et factuel au moment de la délivrance du permis de construire. Vu l’existence de la servitude et du fait que l’autorisation de construire est assortie de la condition notamment du respect du préavis de la police du feu dans lequel l’existence d’une voie d’accès conformes aux exigences du RPSSP est requise avant le début des travaux, il s’avère que, conformément à la jurisprudence, il ne peut être retenu que malgré l’opposition du recourant, la création d’un accès conforme à l’autorisation serait exclue et qu’il est prématuré de se déterminer sur le fait de savoir s’il s’avère suffisant. Les modifications à apporter au chemin toucheraient des parcelles non concernées par l’autorisation de construire et ne font dès lors pas partie du litige. Absence d’inconvénients graves au sens de l’art. 14 LCI par l’augmentation du trafic induit.</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Cependant, les intimés remettent en cause la qualité pour recourir du recourant, compte tenu des griefs qu’il a soulevé dans son recours et d’une prétendue absence d’intérêt pratique au recours.</w:t>
      </w:r>
    </w:p>
    <w:p>
      <w:r>
        <w:rPr>
          <w:b/>
        </w:rPr>
        <w:t>E. 1.1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(ATA/508/2025 du 6 mai 2025 consid. 2.1 et l'arrêt cité).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(ATA/398/2025 du 8 avril 2025 consid. 2.2 et l'arrêt cité ; Stéphane GRODECKI/Romain JORDAN, Code annoté de procédure administrative genevoise, 2017, p. 184 n. 698).</w:t>
      </w:r>
    </w:p>
    <w:p>
      <w:r>
        <w:t>- 8/15 - A/985/2024</w:t>
      </w:r>
    </w:p>
    <w:p>
      <w:r>
        <w:rPr>
          <w:b/>
        </w:rPr>
        <w:t>E. 1.2</w:t>
      </w:r>
    </w:p>
    <w:p>
      <w:r>
        <w:t>En matière de droit des constructions, 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1C_387/2021 du 20 février 2023 consid. 1.1 ; ATA/1237/2021 du 16 novembre 2021 consid. 2b ; Laurent PFEIFFER, La qualité pour recourir en droit de l’aménagement du territoire et de l’environnement, 2013, p. 92).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ATA/453/2021 du 27 avril 2021 consid. 2b).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1C_624/2021 du 10 janvier 2023 consid. 1.1.1 ; ATA/17/2023 du 10 janvier 2023 consid. 11b).</w:t>
      </w:r>
    </w:p>
    <w:p>
      <w:r>
        <w:rPr>
          <w:b/>
        </w:rPr>
        <w:t>E. 1.3</w:t>
      </w:r>
    </w:p>
    <w:p>
      <w:r>
        <w:t>En l’espèce, le recourant n’est certes pas voisin direct de la parcelle concernée par l’autorisation de construire mais sa parcelle en est séparée uniquement pas une autre parcelle. Surtout, il est propriétaire d’une partie de la voie d’accès aux deux parcelles suivantes depuis le chemin G______ puisque celle-ci traverse son bien-fonds, une servitude de passage ayant été constituée dans ce but. Le recourant conteste d’ailleurs l’utilisation de cette voie qui serait faite par les habitants des constructions projetées. En conséquence, étant touché dans un intérêt personnel plus que quiconque et ayant un avantage pratique à l’annulation de l’autorisation, la qualité pour recourir doit lui être reconnue.</w:t>
      </w:r>
    </w:p>
    <w:p>
      <w:r>
        <w:rPr>
          <w:b/>
        </w:rPr>
        <w:t>E. 2</w:t>
      </w:r>
    </w:p>
    <w:p>
      <w:r>
        <w:t>Le recourant conclut à un transport sur place.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w:t>
      </w:r>
    </w:p>
    <w:p>
      <w:r>
        <w:t>- 9/15 - A/985/2024 elle a la certitude que ces dernières ne pourraient pas l'amener à modifier son opinion (ATF 145 I 167 consid. 4.1 ; arrêt du Tribunal fédéral 1C_359/2022 du 20 avril 2023 consid. 3.1 et les références citées).</w:t>
      </w:r>
    </w:p>
    <w:p>
      <w:r>
        <w:rPr>
          <w:b/>
        </w:rPr>
        <w:t>E. 2.2</w:t>
      </w:r>
    </w:p>
    <w:p>
      <w:r>
        <w:t>En l’espèce, vu les considérants qui suivent, la chambre administrative ne donnera pas suite à la demande de mesure d’instruction sollicitée par le recourant, faute d’être déterminante pour l’issue du litige. Vu notamment les préavis favorables des instances spécialisées, les plans et photographies qui figurent dans le dossier, dont certaines produites par le recourant, la chambre administrative ne voit pas d’utilité à ordonner un transport sur place, cette mesure n'étant pas nécessaire pour établir les faits pertinents.</w:t>
      </w:r>
    </w:p>
    <w:p>
      <w:r>
        <w:rPr>
          <w:b/>
        </w:rPr>
        <w:t>E.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w:t>
      </w:r>
    </w:p>
    <w:p>
      <w:r>
        <w:rPr>
          <w:b/>
        </w:rPr>
        <w:t>E. 4</w:t>
      </w:r>
    </w:p>
    <w:p>
      <w:r>
        <w:t>Selon le recourant, les conditions des art. 19 et 22 LAT n’étant pas remplies, l’autorisation de construire n’aurait pas dû être délivrée.</w:t>
      </w:r>
    </w:p>
    <w:p>
      <w:r>
        <w:rPr>
          <w:b/>
        </w:rPr>
        <w:t>E. 4.1</w:t>
      </w:r>
    </w:p>
    <w:p>
      <w:r>
        <w:t>Aux termes de l’art. 22 LAT, aucune construction ou installation ne peut être créée ou transformée sans autorisation de l’autorité compétente, laquelle est délivrée notamment si le terrain est équipé (art. 22 al. 2 let. b LAT). Tel est le cas selon l’art. 19 al. 1 LAT lorsque la parcelle est desservie d’une manière adaptée à l’utilisation prévue par des voies d’accès.</w:t>
      </w:r>
    </w:p>
    <w:p>
      <w:r>
        <w:rPr>
          <w:b/>
        </w:rPr>
        <w:t>E. 4.2</w:t>
      </w:r>
    </w:p>
    <w:p>
      <w:r>
        <w:t>L’équipement minimal selon le droit fédéral exige des voies d’accès « adaptées » à l’utilisation prévue (le texte allemand parle d’accès suffisant - hinreichend). L’idée de base était que les bâtiments doivent être accessibles non seulement à leurs occupants, mais également aux services d’urgence si cela devait s’avérer nécessaire. Le droit fédéral se limite à exiger un accès suffisant, praticable, celui-ci n’ayant pas besoin d’être optimal. Ainsi, 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qu’il dessert. Un équipement aux dimensions un peu « justes » peut d’ailleurs se justifier en partie par le fait qu’il est économe en sol. Le droit fédéral n’exige pas qu’une route carrossable mène directement jusqu’au terrain ou au bâtiment projeté pour que celui-ci soit considéré comme équipé. Il suffit qu’il existe une route à proximité, à partir de laquelle il est possible d’accéder à la construction par un chemin piéton, pour autant que des services publics puissent approcher à moins de 80 m et qu’une intervention efficace reste possible (Eloi JEANNERAT in : Heinz AEMISEGGER/Pierre MOOR/Alexander RUCH/Pierre TSCHANNEN [éd.],</w:t>
      </w:r>
    </w:p>
    <w:p>
      <w:r>
        <w:t>- 10/15 - A/985/2024 Commentaire pratique LAT : Autorisation de construire, protection juridique et procédure, 2020, p. 544 ss n. 22 à 26 ad art. 19 LAT).</w:t>
      </w:r>
    </w:p>
    <w:p>
      <w:r>
        <w:rPr>
          <w:b/>
        </w:rPr>
        <w:t>E. 4.3</w:t>
      </w:r>
    </w:p>
    <w:p>
      <w:r>
        <w:t>L’accès doit non seulement se révéler suffisant sur le plan purement technique, mais il convient également que son tracé et son utilisation soient conformes au droit.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citées).</w:t>
      </w:r>
    </w:p>
    <w:p>
      <w:r>
        <w:rPr>
          <w:b/>
        </w:rPr>
        <w:t>E. 4.4</w:t>
      </w:r>
    </w:p>
    <w:p>
      <w:r>
        <w:t>Dans l’examen du caractère suffisant d’une voie d’accès, qui doit être interprété de cas en cas, les autorités cantonales compétentes bénéficient d’un grand pouvoir d’appréciation (ATF 121 I 65 consid. 3a ; arrêt du Tribunal fédéral 1C_271/2011 du 27 septembre 2011 consid. 2.5 ; Jean-Baptiste ZUFFEREY, Droit public de la construction, 2024, p. 281 n. 520). Elles peuvent aussi se fonder sur les normes édictées en la matière par l’Union des professionnels suisses de la route et des transports (normes VSS), non contraignantes, à appliquer en fonction des circonstances concrètes et en accord avec les principes généraux du droit, dont celui de la proportionnalité (arrêts du Tribunal fédéral 1C_424/2019 du 2 avril 2020 consid. 3.1 ; 1C_155/2019 du 11 décembre 2019 consid. 5.1 et les références citées).</w:t>
      </w:r>
    </w:p>
    <w:p>
      <w:r>
        <w:rPr>
          <w:b/>
        </w:rPr>
        <w:t>E. 4.5</w:t>
      </w:r>
    </w:p>
    <w:p>
      <w:r>
        <w:t>La notion juridique indéterminée d’accès suffisant peut être précisée par le droit cantonal et la pratique judiciaire et administrative cantonale (arrêt du Tribunal fédéral 1C_158/2022 du 20 décembre 2022 consid. 3.1). À Genève, l’autorisation de construire peut être subordonnée à l’équipement préalable des terrains, notamment à la construction de chemins (art. 16 al. 1 let. b LCI).</w:t>
      </w:r>
    </w:p>
    <w:p>
      <w:r>
        <w:rPr>
          <w:b/>
        </w:rPr>
        <w:t>E. 4.6</w:t>
      </w:r>
    </w:p>
    <w:p>
      <w:r>
        <w:t>Sur le plan temporel, le droit fédéral exige que le projet de construction dispose, au plus tard au moment de sa réalisation, de l’accès nécessaire. Les accès doivent être garantis tant sur le plan juridique que factuel au moment de la délivrance du permis de construire. Si une autorisation de construire est assortie de la condition selon laquelle l'autorisation de construire n'aura d'effet juridique qu'une fois l'équipement routier assuré, cela est suffisant à cet égard (ATF 127 I 103 consid. 7d ; arrêts du Tribunal fédéral 1C _589/2020 du 25 mars 2021 consid. 3.2.1). Le Tribunal fédéral a confirmé qu’un tribunal cantonal pouvait compléter un permis de construire en imposant au requérant ou aux propriétaires fonciers des parcelles concernées l’obligation de fournir à l’autorité administrative, après l'entrée en vigueur du permis de construire et avant le début des travaux, la preuve que les deux terrains à bâtir avaient été réunis ou que les droits réciproques correspondants avaient été inscrits au registre foncier pour la réalisation du projet de construction (arrêt du Tribunal fédéral 1C_271/2011 du 27 septembre 2011 consid. 2.5). La chambre de céans a complété une autorisation de construire en ajoutant comme condition que l’accès soit garanti au plus tard au moment de la réalisation du projet dans une espèce où l’impasse utilisée par le propriétaire était exclusivement sise sur des parcelles privées n’étant pas grevées d’une servitude de droit de passage</w:t>
      </w:r>
    </w:p>
    <w:p>
      <w:r>
        <w:t>- 11/15 - A/985/2024 garantissant l’accès aux parcelles objet du projet de construction (ATA/1242/2023 du 14 novembre 2023 consid. 3.6).</w:t>
      </w:r>
    </w:p>
    <w:p>
      <w:r>
        <w:rPr>
          <w:b/>
        </w:rPr>
        <w:t>E. 4.7</w:t>
      </w:r>
    </w:p>
    <w:p>
      <w:r>
        <w:t>Selon la jurisprudence, l'autorité compétente peut autoriser une construction sur un bien-fonds qui, sans être directement accessible depuis la voie publique, l'est par le biais d'une servitude foncière au sens des art. 730 ss du Code civil suisse du 10 décembre 1907 (CC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opposants au projet de démontrer que tel ne serait pas le cas (arrêt du Tribunal fédéral 1C_17/2025 du 29 janvier 2026 consid. 4.3.1 ; 1C_341/2020 précité consid. 3.2.1 et les références citées).</w:t>
      </w:r>
    </w:p>
    <w:p>
      <w:r>
        <w:rPr>
          <w:b/>
        </w:rPr>
        <w:t>E. 4.8</w:t>
      </w:r>
    </w:p>
    <w:p>
      <w:r>
        <w:t>Il n’est pas possible de fixer abstraitement des largeurs minimales, la jurisprudence faisant dépendre cette largeur minimum des caractéristiques individuelles locales. Il a toutefois été constaté dans la jurisprudence rendue en la matière que le critère de la largeur de la voie d’accès, déterminant selon les normes VSS ou imposée par certaines dispositions de droit cantonal, était fréquemment pondéré par celui de la longueur du chemin d’accès (notamment dans les arrêts du Tribunal fédéral 1C_668/2013 du 21 mars 2014 consid. 2.2 in DC 2015 p. 132, 1C_157/2008 du 10 juillet 2008 consid. 2.6 cités dans Irène MARTIN-RIVARA, La servitude de passage nécessaire, 2021 p. 65 n. 168). Par exemple, le Tribunal fédéral a confirmé une autorisation de construire un immeuble de 23 appartements avec une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w:t>
      </w:r>
    </w:p>
    <w:p>
      <w:r>
        <w:rPr>
          <w:b/>
        </w:rPr>
        <w:t>E. 4.9</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ATA/508/2025 du 6 mai 2025 consid. 6.8 ; ATA/169/2020 du 11 février 2020 consid. 7b ; arrêt du Tribunal fédéral 1C_416/2012 du 6 décembre 2012 consid. 5 in fine).</w:t>
      </w:r>
    </w:p>
    <w:p>
      <w:r>
        <w:rPr>
          <w:b/>
        </w:rPr>
        <w:t>E. 4.9.1</w:t>
      </w:r>
    </w:p>
    <w:p>
      <w:r>
        <w:t>Concernant l’aggravation de la charge pour le fond servant, le Tribunal fédéral a notamment retenu que la construction de 19 nouveaux logements, dont la plupart seraient occupés par plusieurs personnes, aurait pour conséquence d’entraîner une utilisation plus intensive de la servitude passage mais pas</w:t>
      </w:r>
    </w:p>
    <w:p>
      <w:r>
        <w:t>- 12/15 - A/985/2024 nécessairement que la charge deviendrait intolérable ou que l’accès serait insuffisant. Il a également jugé qu’un nouvel habitat groupé avec un parking de 23 places remplaçant une villa, imposait une aggravation notable de la charge pour le fond servant. Toutefois, à l’inverse, la création de cinq places de stationnement, ne permettait pas de considérer que l’accès ne serait plus juridiquement garanti sous l’angle de l’art. 19 LAT (arrêt du Tribunal fédéral 1C-17/2025 précité consid. 4.3.4).</w:t>
      </w:r>
    </w:p>
    <w:p>
      <w:r>
        <w:rPr>
          <w:b/>
        </w:rPr>
        <w:t>E. 4.10</w:t>
      </w:r>
    </w:p>
    <w:p>
      <w:r>
        <w:t>En l’espèce, il n’est pas contesté que l’autorisation de construire est assortie des conditions figurant dans les préavis et qu’elle précise expressément sous point</w:t>
      </w:r>
    </w:p>
    <w:p>
      <w:r>
        <w:rPr>
          <w:b/>
        </w:rPr>
        <w:t>E. 5</w:t>
      </w:r>
    </w:p>
    <w:p>
      <w:r>
        <w:t>Le recourant fait grief au projet de créer des inconvénients graves, au sens de l’art. 14 LCI par l’augmentation du trafic qu’il induira.</w:t>
      </w:r>
    </w:p>
    <w:p>
      <w:r>
        <w:rPr>
          <w:b/>
        </w:rPr>
        <w:t>E. 5.1</w:t>
      </w:r>
    </w:p>
    <w:p>
      <w:r>
        <w:t>Le département peut refuser une autorisation lorsqu’une construction ou une installation peut être la cause d’inconvénients graves pour les usagers, le voisinage ou le public (art. 14 al. 1 let. a LCI). Est réservée l’application de l’ordonnance sur la protection contre le bruit du 15 décembre 1986 (OPB - RS 814.41 ; art. 14 al. 2 LCI).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(ATA/825/2024 du 9 juillet 2024 consid. 8.17).</w:t>
      </w:r>
    </w:p>
    <w:p>
      <w:r>
        <w:rPr>
          <w:b/>
        </w:rPr>
        <w:t>E. 5.2</w:t>
      </w:r>
    </w:p>
    <w:p>
      <w:r>
        <w:t>La notion d’inconvénients graves est une notion juridique indéterminée qui laisse à l’autorité une liberté d’appréciation et n’est limitée que par l’excès et l’abus de pouvoir (ATA/987/2024 du 20 août 2024 consid. 6.14 et l’arrêt cité).</w:t>
      </w:r>
    </w:p>
    <w:p>
      <w:r>
        <w:rPr>
          <w:b/>
        </w:rPr>
        <w:t>E. 5.3</w:t>
      </w:r>
    </w:p>
    <w:p>
      <w:r>
        <w:t>Selon la jurisprudence constante de la chambre administrative,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(ATA/206/2024 du 13 février 2024 consid. 6.1 et l’arrêt cité).</w:t>
      </w:r>
    </w:p>
    <w:p>
      <w:r>
        <w:rPr>
          <w:b/>
        </w:rPr>
        <w:t>E. 5.4</w:t>
      </w:r>
    </w:p>
    <w:p>
      <w:r>
        <w:t>Le projet de construction prévoit la création de neuf appartements et un total de sept places de parking. Ce nombre de places, inférieur à celui prévu en principe par la réglementation applicable, a été autorisé sur dérogation, compte tenu du partage des véhicules voulu par le projet. En conséquence, le projet étant conforme aux prescriptions de la zone, ce que le recourant souligne d’ailleurs, et même en prenant en compte l’augmentation du trafic qui sera liée aux trois bâtiments autorisés sur la parcelle no 1'473 par la DD 2______, rien ne permet de retenir que le trafic généré par ces nouvelles habitations, remplaçant deux villas existantes, serait susceptible de créer des nuisances qui excéderaient celles qui doivent être acceptées. Finalement, le recourant n’ayant produit aucun nouvel argument en lien avec ce grief, la chambre de céans fait siens les considérants détaillés du TAPI dans son jugement (consid. 18 à 23), auquel il peut être renvoyé pour le surplus.</w:t>
      </w:r>
    </w:p>
    <w:p>
      <w:r>
        <w:t>- 14/15 - A/985/2024 Le grief sera écarté et le recours, infondé, doit être rejeté.</w:t>
      </w:r>
    </w:p>
    <w:p>
      <w:r>
        <w:rPr>
          <w:b/>
        </w:rPr>
        <w:t>E. 6</w:t>
      </w:r>
    </w:p>
    <w:p>
      <w:r>
        <w:t>Vu l’issue du litige, un émolument de CHF 1'000.- sera mis à la charge du recourant (art. 87 al. 1 LPA) et, une indemnité de procédure de CHF 1'000.- sera allouée aux intimés pris conjointement,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