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ATA/388/2016 vom 3. Mai 2016</w:t>
      </w:r>
    </w:p>
    <w:p>
      <w:r>
        <w:t>GE Cour de justice, 2016-05-03, FR</w:t>
      </w:r>
    </w:p>
    <w:p>
      <w:r>
        <w:rPr>
          <w:b/>
        </w:rPr>
        <w:t xml:space="preserve">Quelle: </w:t>
      </w:r>
      <w:r>
        <w:t>https://mcp.opencaselaw.ch/entscheid/ge_gerichte_ATA_388_2016</w:t>
      </w:r>
    </w:p>
    <w:p>
      <w:r>
        <w:t>FR: GE_GERICHTE ATA/388/2016 du 3 mai 2016</w:t>
      </w:r>
    </w:p>
    <w:p>
      <w:r>
        <w:t>IT: GE_GERICHTE ATA/388/2016 del 3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considère que ses conditions de détention en exécution de peine pendant la période de détention litigieuse, étaient illicites au vu de la taille des cellules qu’il avait fréquentées et son confinement dans celles-ci.</w:t>
      </w:r>
    </w:p>
    <w:p>
      <w:r>
        <w:t>a. Au niveau conventionnel, l'art. 3 CEDH, qui interdit, à l'instar d'autres dispositions constitutionnelles et conventionnelles,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 - GE - A 2 00) prévoit que la torture et tout autre traitement ou peine cruels, inhumains ou dégradants sont interdits (art. 18 al. 2) et que la dignité humaine est inviolable (art. 14 al. 1).</w:t>
      </w:r>
    </w:p>
    <w:p>
      <w:r>
        <w:t>- 7/15 - A/4458/2015</w:t>
      </w:r>
    </w:p>
    <w:p>
      <w:r>
        <w:t>b. Les standards minimaux en matière de détention sont concrétisés par la recommandation Rec(2006)2 sur les règles pénitentiaires européennes adoptée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Centre de prévention de la torture (ci-après :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w:t>
      </w:r>
    </w:p>
    <w:p>
      <w:r>
        <w:t>- 8/15 - A/4458/2015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du code de procédure pénale suisse du 5 octobre 2007 (CPP - RS 312.0)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w:t>
      </w:r>
    </w:p>
    <w:p>
      <w:r>
        <w:t>f. Le 26 février 2014, le Tribunal fédéral a rendu plusieurs arrêts en matière d’examen des conditions de détention, dans le cadre de la détention provisoire, confirmés ultérieurement.</w:t>
      </w:r>
    </w:p>
    <w:p>
      <w:r>
        <w:t>À cette occasion, le Tribunal fédéral a rappelé la jurisprudence fédérale existante (ATF 140 I 125 précité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w:t>
      </w:r>
    </w:p>
    <w:p>
      <w:r>
        <w:t>- 9/15 - A/4458/2015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Le Tribunal fédéral a également examiné la jurisprudence rendue par la CourEDH (ATF 140 I 125 consid. 3.4 et 3.5 p. 134 ss), que la Suisse s'est engagée à respecter (art. 46 ch. 1 CEDH et 122 de la loi fédérale sur le Tribunal fédéral du 17 juin 2005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w:t>
      </w:r>
    </w:p>
    <w:p>
      <w:r>
        <w:t>- 10/15 - A/4458/2015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Après examen des jurisprudences fédérales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g. Dans une jurisprudence récente, la chambre de céans a repris ces éléments pour examiner si les conditions de la détention d'un détenu sous le régime de l'exécution de peine étaient licites (ATA/1145/2015 du 27 octobre 2015).</w:t>
      </w:r>
    </w:p>
    <w:p>
      <w:r>
        <w:t>h. S'agissant de la surface effective des cellules comportant une douche, le Tribunal fédéral a admis la déduction de la surface tant des installations sanitaires</w:t>
      </w:r>
    </w:p>
    <w:p>
      <w:r>
        <w:t>- 11/15 - A/4458/2015 que de la douche (ATF 140 I 125 précité consid. 3.6.3 p. 139) pour obtenir la surface nette à disposition des détenus.</w:t>
      </w:r>
    </w:p>
    <w:p>
      <w:r>
        <w:t>Cette position a été confirmée dans un récent arrêt (arrêt du Tribunal fédéral 6B_456/2015 du 21 mars 2016 consid. 2.4.2).</w:t>
      </w:r>
    </w:p>
    <w:p>
      <w:r>
        <w:t>À l’instar du TMC, la chambre administrative a déduit de la surface des cellules les surfaces des installations sanitaires et de la douche (ATA/259/2016 du 22 mars 2016 ; ATA/65/2016, ATA/67/2016 et ATA/68/2016 du 26 janvier 2016 ; OTMC/3305/2015 du 20 novembre 2015 ; OTMC/1107/2015 du 22 avril 2015).</w:t>
      </w:r>
    </w:p>
    <w:p>
      <w:r>
        <w:t>i. La chambre administrative a retenu (ATA/1145/2015 précité) que la présence de meubles ne réduisait pas excessivement l’espace pour se mouvoir, la télévision étant notamment fixée en hauteur directement au mur et le frigo placé sous la table, de manière à préserver au maximum l’espace disponible.</w:t>
      </w:r>
    </w:p>
    <w:p>
      <w:r>
        <w:t>j.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a toutefois retenu qu'une période de sept jours interrompant cent trente-cinq jours et quarante-huit jours en cellule non conforme à l'art. 3 CEDH, n'était pas suffisamment longue pour interrompre le délai indicatif de trois mois au-delà duquel les conditions de détention ne sont plus tolérables et sont contraires à la dignité humaine. Il en était de même d'un laps de temps de douze jours précédé de quarante-huit jours et suivi de trois cent vingt-neuf jours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et 1B_239/2015 précité consid. 2.5.2).</w:t>
      </w:r>
    </w:p>
    <w:p>
      <w:r>
        <w:t>- 12/15 - A/4458/2015</w:t>
      </w:r>
    </w:p>
    <w:p>
      <w:r>
        <w:t>Selon le Tribunal fédéral,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 subies dans un espace confiné de moins de 4 m2 par détenu (in casu cent quatre-vingt-quatre jours et cent quarante-neuf nuits ; arrêt du Tribunal fédéral 1B_239/2015 du 29 septembre 2015 consid. 2.5.3 ; ACPR/650/2015 du 1er décembre 2015 consid. 3.1).</w:t>
      </w:r>
    </w:p>
    <w:p>
      <w:r>
        <w:t>k. Dans l’ATA/259/2016 précité, la chambre de céans a retenu que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représentait.</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(ATA/259/2016 précité consid. 6c).</w:t>
      </w:r>
    </w:p>
    <w:p>
      <w:r>
        <w:rPr>
          <w:b/>
        </w:rPr>
        <w:t>E. 3</w:t>
      </w:r>
    </w:p>
    <w:p>
      <w:r>
        <w:t>22.18</w:t>
      </w:r>
    </w:p>
    <w:p>
      <w:r>
        <w:rPr>
          <w:b/>
        </w:rPr>
        <w:t>E. 6</w:t>
      </w:r>
    </w:p>
    <w:p>
      <w:r>
        <w:t>3 1 21 3.70 4.40 3.70</w:t>
      </w:r>
    </w:p>
    <w:p>
      <w:r>
        <w:t>Il en résulte que, sur nonante-quatre jours de détention, le recourant a séjourné deux jours (nuit incluse), soit du 2 juin au 3 juin 2013, dans une cellule où il n’a bénéficié que d’une surface de cellule nette de 3.39 m2 et quatre-vingt jours (nuits incluses) au total dans une cellule où il a bénéficié d'un espace individuel net de 3.69 m2, soit, dans l'ordre chronologique : vingt-deux jours du 4 au 26 juin 2013, dix-neuf jours du 27 juin au 16 juillet 2013, vingt-deux jours du 18 juillet au 8 août 2013, trois jours du 10 au 12 août 2013 , vingt et un jours du 14 août 2013 au 3 septembre 2013.</w:t>
      </w:r>
    </w:p>
    <w:p>
      <w:r>
        <w:t>En application des jurisprudences du Tribunal fédéral rappelées ci-dessus, les très brefs moments d'un ou deux jours durant lesquels l'intéressé a pu disposer d'une surface de plus de 4 m² n'interrompent pas le délai indicatif de trois mois au-delà duquel les conditions de détention ne sont plus tolérables et sont contraires à la dignité humaine.</w:t>
      </w:r>
    </w:p>
    <w:p>
      <w:r>
        <w:t>Ni l’heure de promenade quotidienne, l’heure de sport hebdomadaire, les visites de sa compagne ou la possibilité de bénéficier d’une heure de sport supplémentaire deux à trois fois par semaine dans la petite salle de l’unité « de manière cyclique » évoquée par l’autorité intimée ne permettent de modifier la</w:t>
      </w:r>
    </w:p>
    <w:p>
      <w:r>
        <w:t>- 14/15 - A/4458/2015 conclusion selon laquelle le recourant a été confiné vingt-trois heures sur vingt-quatre dans sa cellule, compte tenu du temps très limité hors cellule que cela représente (ATA/259/2016 précité).</w:t>
      </w:r>
    </w:p>
    <w:p>
      <w:r>
        <w:t>Ainsi, cette période de nonante-quatre jours – devant être considérés comme consécutifs – de détention durant laquelle le recourant n'a bénéficié que d'une surface individuelle nette de 3.69 m2, voire, pour deux jours de 3.39 m2, certes entrecoupée de brèves périodes où l'espace était supérieur à 4 m2, cumulée à un temps hors cellule limité à une heure par jour, autrement dit à un confinement de vingt-trois heures sur vingt-quatre, apparaît contraire à la CEDH pour la période allant du 4 juin 2013 au 3 septembre 2013. 4.</w:t>
      </w:r>
    </w:p>
    <w:p>
      <w:r>
        <w:t>Au vu de ce qui précède, le grief sera admis, ce qui entraîne l’admission du recours,</w:t>
      </w:r>
    </w:p>
    <w:p>
      <w:r>
        <w:t>La chambre de céans constatera que les conditions de détention dans lesquelles s'est déroulée la détention du recourant en exécution de peine ont été illicites eu égard à la surface individuelle nette dont il disposait lors de sa détention dans sa cellule pendant un total de nonante-quatre jours devant être considérés comme consécutifs. 5.</w:t>
      </w:r>
    </w:p>
    <w:p>
      <w:r>
        <w:t>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