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ATA/388/2012 vom 19. Juni 2012</w:t>
      </w:r>
    </w:p>
    <w:p>
      <w:r>
        <w:t>GE Cour de justice, 2012-06-19, FR</w:t>
      </w:r>
    </w:p>
    <w:p>
      <w:r>
        <w:rPr>
          <w:b/>
        </w:rPr>
        <w:t xml:space="preserve">Quelle: </w:t>
      </w:r>
      <w:r>
        <w:t>https://mcp.opencaselaw.ch/entscheid/ge_gerichte_ATA_388_2012</w:t>
      </w:r>
    </w:p>
    <w:p>
      <w:r>
        <w:t>FR: GE_GERICHTE ATA/388/2012 du 19 juin 2012</w:t>
      </w:r>
    </w:p>
    <w:p>
      <w:r>
        <w:t>IT: GE_GERICHTE ATA/388/2012 del 19 giugno 2012</w:t>
      </w:r>
    </w:p>
    <w:p>
      <w:pPr>
        <w:pStyle w:val="Heading2"/>
      </w:pPr>
      <w:r>
        <w:t>Regeste</w:t>
      </w:r>
    </w:p>
    <w:p>
      <w:r>
        <w:t>Résumé: Décision de refus d'octroi d'un permis d'étudiant assortie d'un renvoi confirmée. L'art. 27 LEtr ne confère pas un droit à un permis d'étudiant. L'autorité dispose d'un pouvoir d'appréciation que la chambre ne peut revoir que sous un angle limité. Pas d'excès ou d'abus du pouvoir d'appréciation en l'espèce, les circonstances de la venue en Suisse de l'intéressé, la durée des études envisagées et l'absence de projet professionnel lors de son retour dans son pays d'origine cachant une volonté de sa part d'éluder les prescriptions de police des étrangers.</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t>- 5/9 - A/4272/2010</w:t>
      </w:r>
    </w:p>
    <w:p>
      <w:r>
        <w:rPr>
          <w:b/>
        </w:rPr>
        <w:t>E. 2</w:t>
      </w:r>
    </w:p>
    <w:p>
      <w:r>
        <w:t>La chambre administrative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Au 31 décembre 2010, l’art. 27 de la LEtr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rPr>
          <w:b/>
        </w:rPr>
        <w:t>E. 4</w:t>
      </w:r>
    </w:p>
    <w:p>
      <w:r>
        <w:t>Depuis le 1er janvier 2011, à la suite de l’entrée en vigueur de la loi fédérale du 18 juin 2010 destinée à faciliter l’admission des étrangers diplômés d’une haute école suisse (RO 2010 5957 - FF 2010 373, notamment p. 391), l’art. 27 al. 1 let. d aLEtr a été modifié.</w:t>
      </w:r>
    </w:p>
    <w:p>
      <w:r>
        <w:t>Dans sa nouvelle teneur, celui-ci impose comme quatrième condition que l’étranger ait le niveau de formation et les qualifications personnelles requises pour suivre la formation ou le perfectionnement prévus. Tel est le cas « notamment lorsqu’aucun séjour antérieur, aucune procédure de demande antérieure ni aucun autre élément n’indique que la formation ou le perfectionnement invoqués visent uniquement à éluder les prescriptions ».</w:t>
      </w:r>
    </w:p>
    <w:p>
      <w:r>
        <w:t>L’art. 27 al. 1 let. d LEtr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 ceux qui viennent étudier en Suisse, dans un autre établissement qu’une haute école suisse, qui restent soumis à la règle générale de</w:t>
      </w:r>
    </w:p>
    <w:p>
      <w:r>
        <w:t>- 6/9 - A/4272/2010 l’art. 5 al. 2 LEtr selon laquelle tout étranger séjournant temporairement en Suisse doit apporter la garantie qu’il quittera ce pays à l’issue de ses études (ATA/612/2011 du 27 septembre 2011 ; ATA/546/2011 du 30 août 2011).</w:t>
      </w:r>
    </w:p>
    <w:p>
      <w:r>
        <w:rPr>
          <w:b/>
        </w:rPr>
        <w:t>E. 5</w:t>
      </w:r>
    </w:p>
    <w:p>
      <w:r>
        <w:t>A teneur de l’art. 126 al. 1 LEtr, les demandes déposées avant l’entrée en vigueur de cette loi sont régies par l’ancien droit. Cette disposition transitoire vise à déterminer le droit applicable aux demandes déposées avant le 1er janvier 2008, date à laquelle la LEtr a remplacé la loi fédérale du 26 mars 1931 sur le séjour et l’établissement des étrangers (aLFSEE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affaires pendantes (ATA/395/2011 du 21 juin 2011). En l’absence de dispositions légales, l’autorité de recours applique les normes en vigueur au jour où elle statue (ATF 99 Ia 113 ; P. MOOR, Droit administratif, vol. 1, 2ème éd., 1994, n° 2524, p. 175). C’est donc à la lumière du droit entré en vigueur le 1er janvier 2011 que la présente cause sera examinée, et cela contrairement à ce qu’a fait le TAPI en appliquant l’art. 27 LEtr dans une teneur antérieure. L’OCP, pour sa part, ne s’y est pas trompé, sa réponse visant l’art. 27 LEtr dans sa teneur en vigueur depuis le 1er janvier 2011.</w:t>
      </w:r>
    </w:p>
    <w:p>
      <w:r>
        <w:rPr>
          <w:b/>
        </w:rPr>
        <w:t>E. 6</w:t>
      </w:r>
    </w:p>
    <w:p>
      <w:r>
        <w:t>L’art. 27 al. 1 LEtr n’accorde pas de droit à la délivrance d’un permis d’étudiant. A teneur de son texte, l’autorité cantonale compétente peut délivrer un tel permis. Elle dispose de ce fait d’un large pouvoir d’appréciation, l’étranger ne bénéficiant pas d’un droit de séjour en Suisse fondé sur l’art. 27 LEtr (Arrêts du Tribunal fédéral 2C_802/2010 du 22 octobre 2010 ; 2D_14/2010 du 28 juin 2010 ; ATA/417/2011 et ATA/395/2011 précités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t>En l’occurrence, le recourant, qui a terminé ses études en 2009, motive sa demande d’étudier en Suisse par la volonté d’apprendre le français dans un pays francophone, en profitant de la présence à Genève de membres de sa famille. Toutefois, les circonstances de son arrivée en Suisse, qui a précédé le dépôt de sa demande d’autorisation de séjour pour études, la durée des études proposées, soit trois années destinées exclusivement à l’apprentissage du français dans un établissement d’enseignement ne délivrant pas de diplôme de niveau universitaire, et l’absence de projet professionnel précis au retour en Turquie autorisaient l’OCP</w:t>
      </w:r>
    </w:p>
    <w:p>
      <w:r>
        <w:t>- 7/9 - A/4272/2010 à retenir qu’il n’avait pas démontré la nécessité de sa venue en Suisse pour études et que, malgré sa déclaration d’intention relative à son retour en Turquie à l’échéance de celles-ci, la demande de pouvoir étudier en Suisse cachait une volonté d’éluder les prescriptions de police des étrangers.</w:t>
      </w:r>
    </w:p>
    <w:p>
      <w:r>
        <w:rPr>
          <w:b/>
        </w:rPr>
        <w:t>E. 7</w:t>
      </w:r>
    </w:p>
    <w:p>
      <w:r>
        <w:t>A teneur de l’art. 64 al. 1 let. c LEtr, qui a remplacé l’art. 66 al. 1 let. c LEtr depuis le 1er janvier 2011 mais qui est de même portée, les autorités compétentes rendent une décision de renvoi ordinaire à l’encontre d’un étranger auquel l’autorisation est refusée ou dont l’autorisation est révoquée, ou n’est pas prolongée après un séjour autorisé.</w:t>
      </w:r>
    </w:p>
    <w:p>
      <w:r>
        <w:t>Le recourant étant en Suisse sans être au bénéfice d’une autorisation, il doit en être renvoyé, cette décision n’étant que la conséquence naturelle de la première, dès lors que rien, au vu du dossier, ne s’oppose à une telle mesure.</w:t>
      </w:r>
    </w:p>
    <w:p>
      <w:r>
        <w:rPr>
          <w:b/>
        </w:rPr>
        <w:t>E. 8</w:t>
      </w:r>
    </w:p>
    <w:p>
      <w:r>
        <w:t>Le recours sera rejeté. Un émolument de CHF 400.- sera mis à la charge du recourant.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