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ATA/388/2005 vom 24. Mai 2005</w:t>
      </w:r>
    </w:p>
    <w:p>
      <w:r>
        <w:t>GE Cour de justice, 2005-05-24, FR</w:t>
      </w:r>
    </w:p>
    <w:p>
      <w:r>
        <w:rPr>
          <w:b/>
        </w:rPr>
        <w:t xml:space="preserve">Quelle: </w:t>
      </w:r>
      <w:r>
        <w:t>https://mcp.opencaselaw.ch/entscheid/ge_gerichte_ATA_388_2005</w:t>
      </w:r>
    </w:p>
    <w:p>
      <w:r>
        <w:t>FR: GE_GERICHTE ATA/388/2005 du 24 mai 2005</w:t>
      </w:r>
    </w:p>
    <w:p>
      <w:r>
        <w:t>IT: GE_GERICHTE ATA/388/2005 del 24 maggio 2005</w:t>
      </w:r>
    </w:p>
    <w:p>
      <w:pPr>
        <w:pStyle w:val="Heading2"/>
      </w:pPr>
      <w:r>
        <w:t>Erwägungen</w:t>
      </w:r>
    </w:p>
    <w:p>
      <w:r>
        <w:rPr>
          <w:b/>
        </w:rPr>
        <w:t>E. 1</w:t>
      </w:r>
    </w:p>
    <w:p>
      <w:r>
        <w:t>Interjeté en temps utile devant la juridiction compétente, le recours est recevable (art. 56C litt. b de la loi sur l'organisation judiciaire du 22 novembre 1941 - LOJ - E 2 05; art. 106 de la loi sur l'assurance-accidents du 20 mars 1981 - LAA - RS 832.20).</w:t>
      </w:r>
    </w:p>
    <w:p>
      <w:r>
        <w:rPr>
          <w:b/>
        </w:rPr>
        <w:t>E. 2</w:t>
      </w:r>
    </w:p>
    <w:p>
      <w:r>
        <w:t>La loi modifiant la loi sur la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(ATA/89/2005 du 1er mars 2005).</w:t>
      </w:r>
    </w:p>
    <w:p>
      <w:r>
        <w:rPr>
          <w:b/>
        </w:rPr>
        <w:t>E. 3</w:t>
      </w:r>
    </w:p>
    <w:p>
      <w:r>
        <w:t>La loi fédérale sur la partie générale du droit des assurances sociales du</w:t>
      </w:r>
    </w:p>
    <w:p>
      <w:r>
        <w:rPr>
          <w:b/>
        </w:rPr>
        <w:t>E. 6</w:t>
      </w:r>
    </w:p>
    <w:p>
      <w:r>
        <w:t>Un calcul basé sur les DPT produit par l’assureur intimé ne conduirait pas à un résultat plus favorable au recourant.</w:t>
      </w:r>
    </w:p>
    <w:p>
      <w:r>
        <w:rPr>
          <w:b/>
        </w:rPr>
        <w:t>E. 7</w:t>
      </w:r>
    </w:p>
    <w:p>
      <w:r>
        <w:t>Quant à l’OCAI, qui a réduit le taux d’invalidité pour le calcul de la rente AI de 100% à 44%, il retient néanmoins des pathologies, comme l’état anxio- dépressif ou les cervico-dorso-lombalgies chroniques, dont l’intimée n’a pas à répondre. On ne saurait donc considérer qu’en l’espèce, le taux retenue pour le calcul de la rente AI vaut également pour le calcul de celle LAA.</w:t>
      </w:r>
    </w:p>
    <w:p>
      <w:r>
        <w:rPr>
          <w:b/>
        </w:rPr>
        <w:t>E. 8</w:t>
      </w:r>
    </w:p>
    <w:p>
      <w:r>
        <w:t>Le recours doit donc être rejeté, la détermination du taux d’invalidité par la CNA étant exempt de toute critique. Le recourant, qui succombe, n’a pas droit à des dépens. Il n’aura pas non plus à s’acquitter des frais de justice, la procédure étant gratuite pour les parties en application de l’article 61 lettre a LPGA. * * * * *</w:t>
      </w:r>
    </w:p>
    <w:p>
      <w:r>
        <w:t>- 11/12 - A/1232/2000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