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ATA/387/2020 vom 23. April 2020</w:t>
      </w:r>
    </w:p>
    <w:p>
      <w:r>
        <w:t>GE Cour de justice, 2020-04-23, FR</w:t>
      </w:r>
    </w:p>
    <w:p>
      <w:r>
        <w:rPr>
          <w:b/>
        </w:rPr>
        <w:t xml:space="preserve">Quelle: </w:t>
      </w:r>
      <w:r>
        <w:t>https://mcp.opencaselaw.ch/entscheid/ge_gerichte_ATA_387_2020</w:t>
      </w:r>
    </w:p>
    <w:p>
      <w:r>
        <w:t>FR: GE_GERICHTE ATA/387/2020 du 23 avril 2020</w:t>
      </w:r>
    </w:p>
    <w:p>
      <w:r>
        <w:t>IT: GE_GERICHTE ATA/387/2020 del 23 aprile 2020</w:t>
      </w:r>
    </w:p>
    <w:p>
      <w:pPr>
        <w:pStyle w:val="Heading2"/>
      </w:pPr>
      <w:r>
        <w:t>Regeste</w:t>
      </w:r>
    </w:p>
    <w:p>
      <w:r>
        <w:t>Résumé: Confirmation de la jurisprudence, selon laquelle, en cas de réévaluation d’une fonction, les termes d’« annuités déjà acquises » du statut du personnel de la Ville de Genève se comprennent comme correspondant au montant des annuités et non pas à leur nombre. Rejet du recours.</w:t>
      </w:r>
    </w:p>
    <w:p>
      <w:pPr>
        <w:pStyle w:val="Heading2"/>
      </w:pPr>
      <w:r>
        <w:t>Erwägungen</w:t>
      </w:r>
    </w:p>
    <w:p>
      <w:r>
        <w:rPr>
          <w:b/>
        </w:rPr>
        <w:t>E. 14</w:t>
      </w:r>
    </w:p>
    <w:p>
      <w:r>
        <w:t>août 2014 adressé à l’ensemble des membres du personnel, que, selon sa pratique, l’art. 47 al. 5 SPVG avait, dès son entrée en vigueur, été interprété de la même manière et que le terme « annuité » devait être compris comme se référant au montant de l’annuité. Il ressort également de ce courrier que l’expérience de l’employé est reconnue par l’augmentation du traitement annuel selon un cahier des charges défini dans sa fonction. En cas de réévaluation de la fonction, le cahier des charges est modifié avec des compétences et des missions supplémentaires ou différentes. Il apparaît ainsi logique que dans la nouvelle fonction, il n’y ait pas de reconnaissance de l’expérience sur l’entier de la fonction. En revanche, l’expérience déjà acquise est prise en compte par le coulissement en francs et l’adjonction d’une ou plusieurs annuités par application de l’art. 47 al. 1 SPVG.</w:t>
      </w:r>
    </w:p>
    <w:p>
      <w:r>
        <w:t>La chambre de céans a confirmé l’admissibilité d’une telle interprétation de l’art. 47 al. 5 SPVG, considérant qu’elle était conforme au droit et n’était pas non plus arbitraire (ATA/281/2017 et ATA/282/2017 précités).</w:t>
      </w:r>
    </w:p>
    <w:p>
      <w:r>
        <w:t>f. En l’espèce, le recourant n’avance aucun motif permettant de s’écarter de l’interprétation susmentionnée, se contentant d’affirmer qu’elle serait erronée et</w:t>
      </w:r>
    </w:p>
    <w:p>
      <w:r>
        <w:t>- 10/11 - A/3658/2019 arbitraire, ce qui n’est toutefois pas le cas comme précédemment démontré. En particulier, son poste a été colloqué en classe « J » de l’échelle des traitements, alors qu’il se trouvait précédemment en classe « I ». Dans ce cadre, il a été tenu compte du montant des annuités déjà acquises et le traitement arrondi à l’annuité supérieure pour qu’il atteigne un montant annuel de base de CHF 111'772.-, au lieu de CHF 110'131.- selon l’ancienne classification des fonctions. Étant donné que la nouvelle fonction-type de sergent-major de la police municipale correspondait en tous points au poste occupé par le recourant, ce que ce dernier ne conteste d’ailleurs pas, il ne se justifiait pas non plus de lui accorder des annuités supplémentaires, sous peine de vider de son sens l’art. 47 al. 5 SPVG et l’interprétation qui lui a été donnée, le recourant ne prétendant du reste pas que son cahier des charges aurait été modifié dans le sens à lui octroyer des compétences et missions supplémentaires justifiant une adaptation des annuités.</w:t>
      </w:r>
    </w:p>
    <w:p>
      <w:r>
        <w:t>Entièrement mal fondé, le recours sera par conséquent rejeté. 8)</w:t>
      </w:r>
    </w:p>
    <w:p>
      <w:r>
        <w:t>Vu l’issue du litige, un émolument de CHF 750.- sera mis à la charge du recourant, qui succombe (art. 87 al. 1 LPA), et aucune indemnité ne sera allouée, la ville disposant de son propre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