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ATA/386/2025 vom 8. April 2025</w:t>
      </w:r>
    </w:p>
    <w:p>
      <w:r>
        <w:t>GE Cour de justice, 2025-04-08, FR</w:t>
      </w:r>
    </w:p>
    <w:p>
      <w:r>
        <w:rPr>
          <w:b/>
        </w:rPr>
        <w:t xml:space="preserve">Quelle: </w:t>
      </w:r>
      <w:r>
        <w:t>https://mcp.opencaselaw.ch/entscheid/ge_gerichte_ATA_386_2025</w:t>
      </w:r>
    </w:p>
    <w:p>
      <w:r>
        <w:t>FR: GE_GERICHTE ATA/386/2025 du 8 avril 2025</w:t>
      </w:r>
    </w:p>
    <w:p>
      <w:r>
        <w:t>IT: GE_GERICHTE ATA/386/2025 del 8 aprile 2025</w:t>
      </w:r>
    </w:p>
    <w:p>
      <w:pPr>
        <w:pStyle w:val="Heading2"/>
      </w:pPr>
      <w:r>
        <w:t>Erwägungen</w:t>
      </w:r>
    </w:p>
    <w:p>
      <w:r>
        <w:rPr>
          <w:b/>
        </w:rPr>
        <w:t>E. 1</w:t>
      </w:r>
    </w:p>
    <w:p>
      <w:r>
        <w:t>Interjeté en temps utile devant une autorité administrative qui a transmis le recours pour raison de compétence à la chambre administrative, le recours est recevable (art. 132 de la loi sur l'organisation judiciaire du 26 septembre 2010 - LOJ - E 2 05 ; art. 62 al. 1 let. a et 64 al. 2 de la loi sur la procédure administrative du 12 septembre 1985 - LPA - E 5 10).</w:t>
      </w:r>
    </w:p>
    <w:p>
      <w:r>
        <w:rPr>
          <w:b/>
        </w:rPr>
        <w:t>E. 2</w:t>
      </w:r>
    </w:p>
    <w:p>
      <w:r>
        <w:t>Préalablement, le recourant conclut à son audition et à celle de D______, lesquelles permettraient d'établir un séjour ininterrompu en Suisse depuis 2003. À cet égard, il se plaint de la violation de son droit d'être entendu, le TAPI n'ayant pas procédé à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La violation du droit d'être entendu doit en principe entraîner l'annulation de la décision attaquée, indépendamment des chances du recourant sur le fond (ATF 141 V 495 consid. 2.2 ; 140 I 68 consid. 9.3). Une réparation devant l'instance de recours est possible si celle-ci jouit du même pouvoir d'examen que l'autorité intimée (ATF 137 I 195 consid. 2.3.2 ; arrêt du Tribunal fédéral 1C_302/2018 du 14 mars 2019 consid. 2.1).</w:t>
      </w:r>
    </w:p>
    <w:p>
      <w:r>
        <w:rPr>
          <w:b/>
        </w:rPr>
        <w:t>E. 2.3</w:t>
      </w:r>
    </w:p>
    <w:p>
      <w:r>
        <w:t>La constatation des faits est, en procédure administrative, gouvernée par le principe de la libre appréciation des preuves (art. 20 al. 1 2e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(ATA/597/2024 du 14 mai 2024 consid. 4.9 et l’arrêt cité).</w:t>
      </w:r>
    </w:p>
    <w:p>
      <w:r>
        <w:rPr>
          <w:b/>
        </w:rPr>
        <w:t>E. 2.4</w:t>
      </w:r>
    </w:p>
    <w:p>
      <w:r>
        <w:t>Dans le jugement querellé, le TAPI a relevé que le recourant semblait l'inviter à procéder à son audition, sans toutefois prendre de conclusions formelles à cet égard. Il a considéré que le dossier contenait les éléments suffisants et nécessaires pour statuer en toute connaissance de cause sur le litige, de sorte qu’il n’apparaissait pas utile de procéder à l’audition du recourant. Il a rajouté que ce dernier avait pu faire valoir ses arguments, dans le cadre de son recours et de ses écritures</w:t>
      </w:r>
    </w:p>
    <w:p>
      <w:r>
        <w:t>- 8/15 - A/1037/2024 subséquentes, et produire tout moyen de preuve utile, sans qu’il n’explique ce qui, dans la procédure écrite, l’aurait empêché d’exprimer ses arguments de manière pertinente et complète. Ce faisant, le TAPI a procédé à une appréciation anticipée des preuves qui ne prête pas le flanc à la critique. Le grief est mal fondé. Pour les mêmes raisons que celles développées par le TAPI, la chambre de céans considère que le dossier est complet et est en état d'être jugé. Il ne sera donc pas procédé aux auditions sollicitées, le droit d'être entendu ne donnant pas droit à une audition orale.</w:t>
      </w:r>
    </w:p>
    <w:p>
      <w:r>
        <w:rPr>
          <w:b/>
        </w:rPr>
        <w:t>E. 3</w:t>
      </w:r>
    </w:p>
    <w:p>
      <w:r>
        <w:t>Le litige porte sur la conformité au droit du jugement confirmant la décision de l’OCPM de refuser le renouvellement de l’autorisation de séjour du recourant.</w:t>
      </w:r>
    </w:p>
    <w:p>
      <w:r>
        <w:rPr>
          <w:b/>
        </w:rPr>
        <w:t>E. 3.1</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notamment l’Accord du 21 juin 1999 entre la Confédération suisse, d’une part, et la Communauté européenne et ses États membres, d’autre part, sur la libre circulation des personnes (ALCP - RS 0.142.112.681).</w:t>
      </w:r>
    </w:p>
    <w:p>
      <w:r>
        <w:rPr>
          <w:b/>
        </w:rPr>
        <w:t>E. 3.2</w:t>
      </w:r>
    </w:p>
    <w:p>
      <w:r>
        <w:t>Selon l’art. 50 al. 1 LEI, après dissolution de la famille, le droit du conjoint et des enfants à l’octroi d’une autorisation de séjour et à la prolongation de sa durée de validité en vertu des art. 42 LEI (membres étrangers de la famille d’un ressortissant suisse) et 43 LEI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w:t>
      </w:r>
    </w:p>
    <w:p>
      <w:r>
        <w:rPr>
          <w:b/>
        </w:rPr>
        <w:t>E. 3.3</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w:t>
      </w:r>
    </w:p>
    <w:p>
      <w:r>
        <w:t>- 9/15 - A/1037/2024 2C_822/2013 du 25 janvier 2014 consid. 5.2 ; ATA/981/2019 du 4 juin 2019 consid. 6b et l’arrêt cité).</w:t>
      </w:r>
    </w:p>
    <w:p>
      <w:r>
        <w:rPr>
          <w:b/>
        </w:rPr>
        <w:t>E. 3.4</w:t>
      </w:r>
    </w:p>
    <w:p>
      <w:r>
        <w:t>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w:t>
      </w:r>
    </w:p>
    <w:p>
      <w:r>
        <w:rPr>
          <w:b/>
        </w:rPr>
        <w:t>E. 3.5</w:t>
      </w:r>
    </w:p>
    <w:p>
      <w:r>
        <w:t>Le droit au séjour ou à la poursuite du séjour fondé sur l'art. 50 LEI s'éteint, en vertu de l'art. 51 al. 2 let. b LEI, s'il existe des motifs de révocation au sens des art. 62 al. 1 LEI, notamment si l'étranger a été condamné à une peine privative de liberté de longue durée ou a fait l’objet d’une mesure pénale prévue aux art. 59 à 61 ou 64 CP (let. b) et/ou s'il attente de manière grave ou répétée à la sécurité et l'ordre publics en Suisse ou à l'étranger, les met en danger ou représente une menace pour la sécurité intérieure ou extérieure de la Suisse (let. c). Les motifs envisagés à l'art. 62 al. 1 LEI constituent chacun une cause de révocation, respectivement de refus d'octroi d'une autorisation de séjour (cf. arrêt du Tribunal fédéral 2C_317/2016 du 14 septembre 2016 consid. 4.5 et les références citées).</w:t>
      </w:r>
    </w:p>
    <w:p>
      <w:r>
        <w:rPr>
          <w:b/>
        </w:rPr>
        <w:t>E. 3.6</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 du Tribunal fédéral 2D_13/2016 du 11 mars 2016 consid. 3.2 ; 2A.166/2001 du 21 juin 2001 consid. 2b/bb La durée du séjour (légal ou non) est ainsi un critère nécessaire, mais</w:t>
      </w:r>
    </w:p>
    <w:p>
      <w:r>
        <w:t>- 10/15 - A/1037/2024 pas suffisant, à lui seul, pour la reconnaissance d’un cas de rigueur (ATA/847/2021 du 24 août 2021 consid. 7e ; ATA/1538/2017 du 28 novembre 2017).</w:t>
      </w:r>
    </w:p>
    <w:p>
      <w:r>
        <w:rPr>
          <w:b/>
        </w:rPr>
        <w:t>E. 3.7</w:t>
      </w:r>
    </w:p>
    <w:p>
      <w:r>
        <w:t>L’intégration professionnelle doit être exceptionnelle.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ATA/192/2021 du 23 février 2021 consid. 9d).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3.8</w:t>
      </w:r>
    </w:p>
    <w:p>
      <w:r>
        <w:t>Dans l’examen de ces critères d’intégration, les autorités compétentes disposent d’un large pouvoir d’appréciation (art. 54 al. 2 et 96 al. 1 LEI ; cf. arrêt du Tribunal fédéral 2C_276/2021 du 28 juin 2021 consid. 4.1). Elles tiennent compte des intérêts publics, de la situation personnelle de l’étranger, ainsi que de son intégration.</w:t>
      </w:r>
    </w:p>
    <w:p>
      <w:r>
        <w:rPr>
          <w:b/>
        </w:rPr>
        <w:t>E. 3.9</w:t>
      </w:r>
    </w:p>
    <w:p>
      <w:r>
        <w:t>Aux termes de l'art. 8 CEDH, toute personne a notamment droit au respect de sa vie privée et familiale.</w:t>
      </w:r>
    </w:p>
    <w:p>
      <w:r>
        <w:rPr>
          <w:b/>
        </w:rPr>
        <w:t>E. 3.10</w:t>
      </w:r>
    </w:p>
    <w:p>
      <w:r>
        <w:t>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ATA/1059/2021 du 12 octobre 2021 consid. 5b). Les relations familiales qui peuvent fonder, en vertu de l'art. 8 par. 1 CEDH, un droit à une autorisation de police des étrangers sont avant tout les rapports entre époux ainsi qu'entre parents et enfants mineurs vivant ensemble (ATF 135 I 143 consid. 1.3.2 ; arrêt du Tribunal fédéral 2C_899/2014 du 3 avril 2015 consid. 3.1). 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w:t>
      </w:r>
    </w:p>
    <w:p>
      <w:r>
        <w:t>- 11/15 - A/1037/2024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3.11</w:t>
      </w:r>
    </w:p>
    <w:p>
      <w:r>
        <w:t>En l'espèce, l'union conjugale du recourant et d'B______ a duré plus de trois ans. Il y a dès lors lieu d'examiner si l'intégration du recourant en Suisse peut être qualifiée de réussie, ce que tant le TAPI que l'OCPM ont nié. Le recourant ne peut en particulier se prévaloir d'un comportement irréprochable, dès lors qu'il a fait l'objet de pas moins de quatre condamnations pénales entre 2017 et 2021. Ces dernières sont notamment liées à l’emploi d'étrangers sans autorisation et à l’exploitation de la dépendance d'une personne (usure). Il doit encore être relevé, à l'instar du TAPI, que le recourant n’a pas respecté l’IES prononcée à son encontre en 2003, pour une durée de trois ans, ainsi que les prescriptions édictées par le Conseil fédéral en vue de protéger la santé de la population durant la pandémie de COVID-19. Ainsi, si certes le recourant n’a plus été condamné depuis fin 2021, il ne peut être retenu que son comportement, qui dénote un mépris de la législation suisse et une absence de volonté de respecter les décisions administratives prises à son égard, a été exemplaire. Les éléments en faveur du recourant, soit son intégration professionnelle, son indépendance financière, sa connaissance de la langue française et son absence de dettes ne suffisent pas à contrebalancer les éléments négatifs susmentionnés. Il y a donc lieu de constater avec le TAPI que le recourant n'a pas démontré une intégration réussie, de sorte que l'une des conditions cumulatives de l'art. 50 al. 1 let. a LEI n'est pas remplie.</w:t>
      </w:r>
    </w:p>
    <w:p>
      <w:r>
        <w:rPr>
          <w:b/>
        </w:rPr>
        <w:t>E. 3.12</w:t>
      </w:r>
    </w:p>
    <w:p>
      <w:r>
        <w:t>Pour ce qui est des raisons personnelles majeures pouvant justifier le renouvellement de l'autorisation de séjour, le TAPI a, à juste titre, observé que le recourant n’alléguait pas avoir fait l'objet de violences conjugales ni avoir contracté son mariage en violation de sa libre volonté. Il n’a séjourné légalement en Suisse qu’à partir de 2015. En outre, bien qu’il indique séjourner en Suisse depuis 2003 – ce qui est toutefois contredit par ses propres déclarations à la Brigade de sécurité publique genevoise le17 mars 2005 –, soit depuis plus de vingt ans, la durée de ce séjour doit être relativisée, conformément à la jurisprudence précitée en tant qu'il ne saurait non plus se prévaloir de la partie du séjour passée illégalement dans le pays. En outre, arrivé en Suisse à l’âge de 28 ans, il a passé son enfance, son adolescence – années déterminantes pour le développement de sa personnalité –, et une partie de sa vie d’adulte dans son pays d’origine, de sorte qu’il en maîtrise manifestement la langue, les us et les coutumes. Des membres de sa famille y vivent toujours et il pourra vraisemblablement compter sur leur soutien en cas de retour. Il n'apparaît donc pas que le fait de retrouver les conditions de vie usuelles qu'il connaît bien pourrait constituer un déracinement complet. Il n’allègue pas, ni a fortiori ne démontre, posséder des connaissances professionnelles si</w:t>
      </w:r>
    </w:p>
    <w:p>
      <w:r>
        <w:t>- 12/15 - A/1037/2024 spécifiques qu’il ne pourrait les mettre en œuvre dans son pays d’origine. Au plan social, le recourant ne fait pas valoir d’intégration particulière au plan sportif, associatif ou culturel. Il ne soutient pas que les éventuelles difficultés auxquelles il pourrait faire face en cas de retour au Kosovo seraient pour lui plus graves que pour la moyenne de ses compatriotes qui y retournent. Le fait que le recourant ait des proches en Suisse et prétende être fortement attaché à ce pays ne lui est d'aucun secours, dès lors qu'aucun élément avancé ne permet d'établir que sa réintégration sera compromise. En dernier lieu et pour les mêmes motifs que ceux retenus sous l’angle de l’art. 50 al. 2 LEI, on ne saurait non plus parvenir à la conclusion que le recourant se trouverait dans un cas individuel d'une extrême gravité au sens de l'art. 30 al. 1 let. b LEI et 31 OASA, qu'il ne peut de toute façon pas invoquer, du fait qu'il a déjà été exempté des mesures de limitation suite à son mariage (cf. ATA/81/2018 du 30 janvier 2018). Au vu de ce qui précède, le séjour en Suisse du recourant ne s’impose pas pour des raisons personnelles majeures au sens des art. 50 al. 1 let. b et 50 al. 2 LEI et il ne peut prétendre au renouvellement, respectivement à l’octroi d’une autorisation de séjour sur cette base.</w:t>
      </w:r>
    </w:p>
    <w:p>
      <w:r>
        <w:rPr>
          <w:b/>
        </w:rPr>
        <w:t>E. 3.13</w:t>
      </w:r>
    </w:p>
    <w:p>
      <w:r>
        <w:t>Quant à l’art. 8 CEDH, il n’est d’aucun secours au recourant dans la mesure où, d’une part, sa fiancé et leur enfant commun ne disposent pas d’une autorisation de séjour en Suisse et, d’autre part, la durée de son séjour légal en Suisse est inférieure à dix ans et, comme vu ci-dessus, son intégration mauvaise. Dès lors, le raisonnement du TAPI ne prête pas le flanc à la critique, de sorte qu'il était fondé à confirmer le refus de l'OCPM de donner une suite positive à la demande de prolongation d'autorisation de séjour du recourant.</w:t>
      </w:r>
    </w:p>
    <w:p>
      <w:r>
        <w:rPr>
          <w:b/>
        </w:rPr>
        <w:t>E. 4</w:t>
      </w:r>
    </w:p>
    <w:p>
      <w:r>
        <w:t>Reste à examiner si le renvoi prononcé par l’OCPM est conforme au droit.</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En l’espèce, dès lors qu’il a, à juste titre, refusé de renouveler l’autorisation de séjour du recourant, l’OCPM devait prononcer son renvoi. Le recourant n’invoque aucun élément permettant de retenir que l’exécution de son renvoi ne serait pas possible, licite ou ne pourrait raisonnablement être exigé. De tels éléments ne ressortent pas non plus du dossier. En conséquence, rien ne s’oppose à l’exécution du renvoi du recourant. Entièrement mal fondé, le recours sera rejeté.</w:t>
      </w:r>
    </w:p>
    <w:p>
      <w:r>
        <w:t>- 13/15 - A/1037/2024</w:t>
      </w:r>
    </w:p>
    <w:p>
      <w:r>
        <w:rPr>
          <w:b/>
        </w:rPr>
        <w:t>E. 5</w:t>
      </w:r>
    </w:p>
    <w:p>
      <w:r>
        <w:t>Vu l’issue du litige, un émolument de CHF 400.- sera mis à la charge du recourant, qui succombe (art. 87 al. 1 LPA) et aucune indemnité de procédure ne lui sera allouée (art. 87 al. 2 LPA). * * * * *</w:t>
      </w:r>
    </w:p>
    <w:p>
      <w:r>
        <w:t>- 14/15 - A/1037/2024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