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ATA/386/2011 vom 21. Juni 2011</w:t>
      </w:r>
    </w:p>
    <w:p>
      <w:r>
        <w:t>GE Cour de justice, 2011-06-21, FR</w:t>
      </w:r>
    </w:p>
    <w:p>
      <w:r>
        <w:rPr>
          <w:b/>
        </w:rPr>
        <w:t xml:space="preserve">Quelle: </w:t>
      </w:r>
      <w:r>
        <w:t>https://mcp.opencaselaw.ch/entscheid/ge_gerichte_ATA_386_2011</w:t>
      </w:r>
    </w:p>
    <w:p>
      <w:r>
        <w:t>FR: GE_GERICHTE ATA/386/2011 du 21 juin 2011</w:t>
      </w:r>
    </w:p>
    <w:p>
      <w:r>
        <w:t>IT: GE_GERICHTE ATA/386/2011 del 21 giugno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Mme D______ a recouru par acte du 1er mars 2010 à l’encontre de la décision des HUG du 25 janvier 2010, reçue le 29 janvier 2010. Interjeté en temps utile devant la juridiction compétente au moment du dépôt du recours, celui-ci est recevable (art. 56A de la loi sur l'organisation judiciaire du 22 novembre 1941 - aLOJ - et art. 63 al. 1 let. a de la loi sur la procédure administrative du 12 septembre 1985 - LPA - E 5 10, dans leur teneur en vigueur jusqu'au 31 décembre 2010).</w:t>
      </w:r>
    </w:p>
    <w:p>
      <w:r>
        <w:t>- 12/18 - A/750/2010</w:t>
      </w:r>
    </w:p>
    <w:p>
      <w:r>
        <w:rPr>
          <w:b/>
        </w:rPr>
        <w:t>E. 2</w:t>
      </w:r>
    </w:p>
    <w:p>
      <w:r>
        <w:t>Il ne sera donné suite à la demande des HUG d’écarter de la procédure les écritures de Mme D______ datées du 31 janvier 2011, mais déposées le lendemain, soit un jour après le délai accordé par le juge délégué, car il ne s’agit que d’un délai d’ordre et que le dépassement n’est que d’un jour.</w:t>
      </w:r>
    </w:p>
    <w:p>
      <w:r>
        <w:rPr>
          <w:b/>
        </w:rPr>
        <w:t>E. 3</w:t>
      </w:r>
    </w:p>
    <w:p>
      <w:r>
        <w:t>Les HUG allèguent que Mme D______ a abandonné son poste et que la décision attaquée est la conséquence de cette situation.</w:t>
      </w:r>
    </w:p>
    <w:p>
      <w:r>
        <w:t>L’abandon d’emploi volontaire, comme la non entrée en service, est un cas de résiliation avec effet immédiat (U. STREIFF/A. VON KAENNEL, Arbeitsvertrag : Praxiskommentar, 6ème éd., Genève, Bâle, Zurich 2006, ad art. 337d CO n° 2). Il présuppose un refus conscient, intentionnel et définitif du travailleur de commencer ou de poursuivre l’exécution des obligations découlant de son contrat de travail, de telle sorte que ce refus puisse être indubitablement interprété comme une résiliation (ATA/261/1997 du 22 avril 1997 consid. 4 et références citées).</w:t>
      </w:r>
    </w:p>
    <w:p>
      <w:r>
        <w:t>Il appartient à l’employeur de prouver la volonté du travailleur d’abandonner définitivement son emploi, par exemple par une lettre de mise en demeure restée sans réponse. Si l’employeur a clairement mis en demeure, sans effet, le travailleur de réintégrer son poste, il revient alors à ce dernier de prouver qu’il n’a pas eu la volonté de mettre fin au contrat par son absence, cette dernière se justifiant par une maladie, une libération de la part de l’employeur ou le fait que le contrat avait déjà été résilié (M. Rehbinder, Arbeitsvertrag : Berner Kommentar, 2ème éd., berne 1992, ad art. 377d CO n° 1).</w:t>
      </w:r>
    </w:p>
    <w:p>
      <w:r>
        <w:t>Le cas d'espèce ne laisse aucune place à cette hypothèse. Mme D______ n’a en effet jamais abandonné son poste au sens décrit ci-dessus. Elle a allégué ne pas être en mesure, pour des raisons de santé, de reprendre ses fonctions à la date demandée en produisant un certificat médical et une attestation confirmant cette incapacité, mais n’a jamais signifié, par ses dires ou par ses actes, un refus conscient, intentionnel et définitif de poursuivre son activité.</w:t>
      </w:r>
    </w:p>
    <w:p>
      <w:r>
        <w:t>L’employé qui ne remet pas en question le maintien de ses relations de service, mais ne donne pas suite à l’injonction qui lui est faite de reprendre ses fonctions à une date donnée, n’abandonne pas son poste au sens exposé ci-dessus, mais commet une violation de ses devoirs de fonction s’il le fait de manière fautive.</w:t>
      </w:r>
    </w:p>
    <w:p>
      <w:r>
        <w:t>Les conséquences de ce comportement s’examinent différemment selon que la personne concernée est ou non fonctionnaire.</w:t>
      </w:r>
    </w:p>
    <w:p>
      <w:r>
        <w:rPr>
          <w:b/>
        </w:rPr>
        <w:t>E. 4</w:t>
      </w:r>
    </w:p>
    <w:p>
      <w:r>
        <w:t>Cette question doit ainsi être préalablement tranchée.</w:t>
      </w:r>
    </w:p>
    <w:p>
      <w:r>
        <w:t>En tant que membre du personnel des HUG, la recourante est soumise au statut, dans sa teneur en vigueur au 25 janvier 2010 (art. 1er al. 1er let. e LPAC, 7</w:t>
      </w:r>
    </w:p>
    <w:p>
      <w:r>
        <w:t>- 13/18 - A/750/2010 al. 2 let k de la loi sur les établissements publics médicaux du 19 septembre 1980 - LEPM - K 2 05), à la LPAC ; art. 1 al. 1er let. e), au RPAC ; art. 1er, ainsi qu’à la loi concernant le traitement et les diverses prestations alloués aux membres du personnel de l’Etat, du pouvoir judiciaire et des établissements hospitaliers du 21 décembre 1973 (LTrait - B 5 15 ; art. 1er).</w:t>
      </w:r>
    </w:p>
    <w:p>
      <w:r>
        <w:t>La perte ou le maintien du statut de fonctionnaire en cas de transfert d’un service de l’Etat à un établissement public autonome soumis à la LPAC, tels que le sont les HUG (art.1er let. a et 5 al. 1er LEPM et 1er al. 1er let. e LPAC) n’est expressément réglé dans aucun des textes précités. L’art. 5 LPAC dispose qu’est un fonctionnaire le membre du personnel régulier ainsi nommé pour une durée indéterminée après avoir accompli comme employé une période probatoire.</w:t>
      </w:r>
    </w:p>
    <w:p>
      <w:r>
        <w:t>Il découle des enquêtes et du MIOPE qu’en cas de transfert, le service des ressources humaines accueillant la personne transférée demande formellement sa démission de son ancien poste. Celle-ci fait l’objet d’un arrêté du Conseil d’Etat qui prend acte de la démission de l’intéressé et procède à une nouvelle nomination après l’accomplissement d’une période probatoire. Pendant plusieurs années, cette nouvelle nomination intervenait quelques mois après le transfert, soit de manière anticipée par rapport aux membres du personnel non transféré, en application de l’art. 49 du statut, qui prévoit que la nomination peut être proposée ou sollicitée avant l’échéance de la période probatoire usuelle de deux ans. Les intéressés étaient ainsi priés de déposer leur demande presque immédiatement après leur entrée en fonction. Cette pratique a ensuite changé aux HUG, sans qu’une information claire n’ait été donnée à ce sujet, ni aux responsables des ressources humaines, ni au personnel.</w:t>
      </w:r>
    </w:p>
    <w:p>
      <w:r>
        <w:t>La compatibilité à la loi de la perte du statut de fonctionnaire consacrée par cette pratique et ses directives, est aussi douteuse que la loi est peu claire à ce sujet.</w:t>
      </w:r>
    </w:p>
    <w:p>
      <w:r>
        <w:t>Cette question peut toutefois rester ouverte en l’espèce, pour les raisons suivantes.</w:t>
      </w:r>
    </w:p>
    <w:p>
      <w:r>
        <w:t>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Valant pour l’ensemble de l’activité étatique, ce principe protège, en particulier, le citoyen dans la confiance légitime qu’il met dans les assurances reçues des autorités lorsqu’il a réglé sa conduite d’après des décisions, des déclarations ou un comportement déterminé de l’administration (ATF 131 II 627 consid. 6.1 p. 637 ; 129 I 161 consid. 4.1 p.</w:t>
      </w:r>
    </w:p>
    <w:p>
      <w:r>
        <w:t>- 14/18 - A/750/2010 170 ; 128 II 112 consid. 10b/aa p. 125 ; 126 II 377 consid. 3a p. 387 et les arrêts cités).</w:t>
      </w:r>
    </w:p>
    <w:p>
      <w:r>
        <w:t>Selon la jurisprudence, les assurances données par les autorités confèrent des droits aux justiciables lorsque cinq conditions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 ss ; A. AUER/ G. MALINVERNI/ M. HOTTELIER, Droit constitutionnel suisse, Berne 2006, Vol. 2, 2ème éd., p. 546 n. 1165 ss ; P. MOOR, Droit administratif, Berne 1994, Vol. 1, 2ème éd., p. 430 n. 5.3.2.1).</w:t>
      </w:r>
    </w:p>
    <w:p>
      <w:r>
        <w:t>En l'espèce, Mme D______ a été nommée fonctionnaire par arrêté du Conseil d’Etat du 26 février 2003. Elle a travaillé pendant douze ans à la pleine satisfaction de son employeur. Dans le cadre de la réorganisation du secteur pénitentiaire et, en particulier, de la psychiatrie pénitentiaire, elle a été informée, le 10 octobre 2007, de son « transfert » au département de psychiatrie des HUG. Celui-ci n’était qu’administratif, puisqu’il n’a entraîné aucun changement dans son activité. Certes, celle-ci s’est étendue aux détenus de « B______ », mais uniquement en raison de l’ouverture concomitante de cet établissement, et non à cause dudit transfert.</w:t>
      </w:r>
    </w:p>
    <w:p>
      <w:r>
        <w:t>Les HUG soutiennent avoir informé oralement Mme D______ de ce que son transfert entraînait automatiquement la perte de son statut de fonctionnaire, au moment du changement. Cette affirmation - au demeurant contestée par Mme D______ - n’est corroborée par aucun élément du dossier. Il était au contraire « bien entendu » pour cette fonctionnaire, qu’elle « [conservait] dans ce transfert tous ses droits acquis », ainsi qu’elle l’a expressément signalé dans son courrier du 9 décembre 2007 adressé à M. M______.</w:t>
      </w:r>
    </w:p>
    <w:p>
      <w:r>
        <w:t>Quant au contrat d’engagement de Mme D______ du 4 décembre 2007, il reprend la même dénomination de fonction que celle figurant dans l’acte de nomination. Il n’atteste d’aucun changement dans la situation de la recourante (taux d’activité à 50 %, classe de traitement 18, durée de l’engagement indéterminée, etc.). Il y est même précisé que « pour le calcul de l’origine de [ses] droits, […] la première date d’entrée à l’Etat est déterminante, soit le 1er septembre 1991 ».</w:t>
      </w:r>
    </w:p>
    <w:p>
      <w:r>
        <w:t>- 15/18 - A/750/2010</w:t>
      </w:r>
    </w:p>
    <w:p>
      <w:r>
        <w:t>Enfin, le dépôt de sa « demande de nomination anticipée » un mois après son transfert et faisant référence à un entretien avec les HUG, confirmerait, si besoin était, le caractère purement formel de cette démarche. Il en va de même de l’arrêté du Conseil d’Etat prenant acte de la « démission » de Mme D______, que celle-ci conteste avoir donnée et dont les HUG n’ont pu démontrer l’existence.</w:t>
      </w:r>
    </w:p>
    <w:p>
      <w:r>
        <w:t>Dans de telles conditions et vu la gravité des conséquences qu’entraîne pour un fonctionnaire la perte de son statut, la bonne foi commande de considérer qu’en l’absence de toute information claire donnée par les HUG à l’intéressée, l’engagement a été pris qu’elle conserverait sa qualité de fonctionnaire dans le cadre de son transfert. Cet engagement est assimilable à une promesse.</w:t>
      </w:r>
    </w:p>
    <w:p>
      <w:r>
        <w:t>Les autres conditions d’application du principe de la bonne foi sont réunies et, en particulier, celle exigeant que Mme D______ ne pouvait se rendre compte de l’illégalité, cas échéant, de ladite promesse, en raison de l’absence de toute disposition légale claire à ce sujet dans le statut, la LPAC, la LTrait ou la LEPM.</w:t>
      </w:r>
    </w:p>
    <w:p>
      <w:r>
        <w:rPr>
          <w:b/>
        </w:rPr>
        <w:t>E. 5</w:t>
      </w:r>
    </w:p>
    <w:p>
      <w:r>
        <w:t>Mme D______ ayant conservé son statut de fonctionnaire, les dispositions topiques s’appliquent.</w:t>
      </w:r>
    </w:p>
    <w:p>
      <w:r>
        <w:t>Celles-ci peuvent être de deux ordres lorsqu’un comportement est reproché au fonctionnaire, comme en l’espèce : soit l’intéressé fait l’objet d’une sanction disciplinaire en raison d’une violation fautive de ses devoirs de fonction et l’art. 16 LPAC est applicable, soit il est licencié pour motif fondé (art. 22 LPAC). Le licenciement pour motif fondé est indépendant de la faute du membre du personnel. En effet, la résiliation des rapports de travail fondée sur cette disposition est une mesure administrative qui ne vise pas à punir mais à adapter la composition de la fonction publique dans un service déterminé, aux exigences relatives au bon fonctionnement dudit service (ATA/79/2011 du 08 février 2011 et références citées).</w:t>
      </w:r>
    </w:p>
    <w:p>
      <w:r>
        <w:t>Ces deux procédures doivent être distinguées. Lorsqu’elles sont menées parallèlement par l’employeur, elles doivent faire l’objet d’une instruction double et complète, portant sur la violation fautive et sur ses conséquences disciplinaires, d’une part, et sur le motif fondé, d’autre part. La préservation du droit d’être entendu au sens strict et le droit de participer à l’administration des preuves commandent en effet la différenciation de ces procédures.</w:t>
      </w:r>
    </w:p>
    <w:p>
      <w:r>
        <w:t>D’une manière générale, le fonctionnaire doit pouvoir se déterminer autant sur les faits qui lui sont reprochés que sur la sanction ou les conséquences qu’il encourt. Il ne peut se défendre adéquatement s’il ne sait laquelle des deux procédures visées ci-dessus est engagée contre lui (invoquer son droit aux mesures de réinsertion professionnelles en cas de licenciement pour motif fondé, par exemple ; art. 21 al. 3 LPAC), ni participer de manière appropriée à l’administration des preuves (production de pièces, audition de témoins, etc).</w:t>
      </w:r>
    </w:p>
    <w:p>
      <w:r>
        <w:t>- 16/18 - A/750/2010</w:t>
      </w:r>
    </w:p>
    <w:p>
      <w:r>
        <w:t>De même, si un licenciement est prononcé au terme de l’instruction, le motif final et la base légale doivent être clairement déterminés, pour que la personne puisse se défendre dans la procédure de recours.</w:t>
      </w:r>
    </w:p>
    <w:p>
      <w:r>
        <w:t>En l’espèce, aucune procédure de licenciement n’a été ouverte à l’encontre de Mme D______. L’existence d’un motif fondé n’a jamais été instruit. La recourante n’a été ni entendue à ce sujet, ni invitée à participer à l’administration des preuves. Elle a été convoquée pour que la situation de son absence au travail soit « clarifiée », ce qu’elle a fait en expliquant qu’elle n’avait pas reçu le rapport du Dr Chollet. Certes, son médecin lui en avait donné partiellement la teneur, mais en en contestant aussitôt les conclusions par l’établissement d’un nouveau certificat médical d’incapacité de travail. Elle n’a ainsi reçu de la part de son employeur aucune injonction de se présenter à son poste à la date prévue, ni été avertie des conséquences auxquelles ce manquement l’exposait. Aucun procès- verbal de cet entretien n’a été tenu et Mme P______ comme M. A______ ont admis qu'à ce moment-là, son licenciement n’était pas envisagé.</w:t>
      </w:r>
    </w:p>
    <w:p>
      <w:r>
        <w:t>La résiliation des rapports de service, intervenue le jour même de cet entretien sans qu'aucune procédure de licenciement n'ait été ouverte, viole très gravement le droit d'être entendu de la recourante.</w:t>
      </w:r>
    </w:p>
    <w:p>
      <w:r>
        <w:rPr>
          <w:b/>
        </w:rPr>
        <w:t>E. 6</w:t>
      </w:r>
    </w:p>
    <w:p>
      <w:r>
        <w:t>La décision est si arbitraire que la question de sa nullité se pose.</w:t>
      </w:r>
    </w:p>
    <w:p>
      <w:r>
        <w:t>En effet, les décisions de licenciement prises en violation grave du droit d’être entendu sont nulles, ce que le tribunal de céans doit constater d’office (Arrêt du Tribunal fédéral 1C.339/2007 du 30 octobre 2007 ; ATA/410/2009 du 25 août 2009 ; ATA/269/2008 du 27 mai 2008 ; ATA/544/2007 du 30 octobre 2007). Pour qu’un acte puisse être déclaré nul à raison d’une telle violation, le Tribunal fédéral requiert un vice grave et évident ainsi que l’absence d’atteinte à la sécurité juridique en cas de constatation de cette nullité (ATF 104 Ia 172).</w:t>
      </w:r>
    </w:p>
    <w:p>
      <w:r>
        <w:t>Vu la gravité de la violation des droits de Mme D______ et l’atteinte peu grave à la sécurité juridique en l’espèce, eu égard notamment au flou que l’employeur a entretenu sur le statut de sa collaboratrice, la nullité sera constatée.</w:t>
      </w:r>
    </w:p>
    <w:p>
      <w:r>
        <w:rPr>
          <w:b/>
        </w:rPr>
        <w:t>E. 7</w:t>
      </w:r>
    </w:p>
    <w:p>
      <w:r>
        <w:t>La décision de licenciement du 25 janvier 2010 étant nulle, Mme D______ fait toujours partie du personnel de l’administration cantonale (ATA/181/2009 déjà cité).</w:t>
      </w:r>
    </w:p>
    <w:p>
      <w:r>
        <w:rPr>
          <w:b/>
        </w:rPr>
        <w:t>E. 8</w:t>
      </w:r>
    </w:p>
    <w:p>
      <w:r>
        <w:t>Au vu de ce qui précède, le recours sera admis. Un émolument de CHF 1'000.- sera mis à la charge des HUG qui succombent (art. 87 LPA). Une indemnité de CHF 2'000.- sera allouée à la recourante, à charge de l’Etat de Genève.</w:t>
      </w:r>
    </w:p>
    <w:p>
      <w:r>
        <w:t>* * * * *</w:t>
      </w:r>
    </w:p>
    <w:p>
      <w:r>
        <w:t>- 17/18 - A/750/2010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