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ATA/385/2018 vom 24. April 2018</w:t>
      </w:r>
    </w:p>
    <w:p>
      <w:r>
        <w:t>GE Cour de justice, 2018-04-24, FR</w:t>
      </w:r>
    </w:p>
    <w:p>
      <w:r>
        <w:rPr>
          <w:b/>
        </w:rPr>
        <w:t xml:space="preserve">Quelle: </w:t>
      </w:r>
      <w:r>
        <w:t>https://mcp.opencaselaw.ch/entscheid/ge_gerichte_ATA_385_2018</w:t>
      </w:r>
    </w:p>
    <w:p>
      <w:r>
        <w:t>FR: GE_GERICHTE ATA/385/2018 du 24 avril 2018</w:t>
      </w:r>
    </w:p>
    <w:p>
      <w:r>
        <w:t>IT: GE_GERICHTE ATA/385/2018 del 24 aprile 2018</w:t>
      </w:r>
    </w:p>
    <w:p>
      <w:pPr>
        <w:pStyle w:val="Heading2"/>
      </w:pPr>
      <w:r>
        <w:t>Regeste</w:t>
      </w:r>
    </w:p>
    <w:p>
      <w:r>
        <w:t>Résumé: Les recourantes bénéficient d'un intérêt digne de protection au sens de l'art. 4A LPA par rapport à la pratique de l'intimé visant à autoriser les cessions d'une autorisation d'usage accru du domaine public à des personnes non titulaires d'une autorisation d'usage accru du domaine public. Le texte de l'art. 47 al. 1 LTVTC est clair, en ce sens que les mots « à un autre titulaire d'autorisation » visent uniquement les chauffeurs de taxi d'ores et déjà au bénéfice d'au moins une autorisation d'usage accru du domaine public et non pas, comme le soutient l'intimé, des personnes n'en étant pas titulaires. Les interprétations historique, téléologique et systématique viennent confirmer l'interprétation littérale de la disposition en question. Constat d'illicéité des cessions d'autorisation d'usage accru du domaine public à des cessionnaires non titulaires d'une autorisation d'usage accru du domaine public lors de la conclusion du contrat de cession entre le 1er juillet 2017 et le 31 décembre 2017, ainsi que leurs enregistrements au registre des cessions. Recours admis.</w:t>
      </w:r>
    </w:p>
    <w:p>
      <w:pPr>
        <w:pStyle w:val="Heading2"/>
      </w:pPr>
      <w:r>
        <w:t>Erwägungen</w:t>
      </w:r>
    </w:p>
    <w:p>
      <w:r>
        <w:rPr>
          <w:b/>
        </w:rPr>
        <w:t>E. 26</w:t>
      </w:r>
    </w:p>
    <w:p>
      <w:r>
        <w:t>septembre 2010 - LOJ - E 2 05 ; art. 62 al. 1 LPA).</w:t>
      </w:r>
    </w:p>
    <w:p>
      <w:r>
        <w:t>- 11/21 - A/4460/2017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Si les cantons demeurent libres de concevoir la qualité pour recourir devant leurs propres autorités de manière plus large que la qualité pour recourir devant le Tribunal fédéral, il leur est en revanche interdit, selon l'art. 111 al. 1 de la loi sur le Tribunal fédéral du 17 juin 2005, en vigueur depuis le 1er janvier 2007 (LTF - RS 173.110), d'apprécier cette qualité de manière plus restrictive (ATF 138 II 162 consid. 2.1.1 ; arrêts du Tribunal fédéral 2C_68/2015 du 13 janvier 2016 consid. 4.2 ; 2C_180/2015 du 19 octobre 2015 consid. 2.1.1 ; 2C_1157/2014 du 3 septembre 2015 consid. 5.2 ; Pierre MOOR/Étienne POLTIER, Droit administratif, vol. II, 3ème éd., 2011, ch. 5.7.2.1 p. 728 ; Thierry TANQUEREL, Manuel de droit administratif, 2011, n. 1360 p. 447). En effet, en vertu de l'art. 111 al. 1 LTF, la qualité de partie à la procédure devant toute autorité cantonale précédente doit être reconnue à quiconque a qualité pour recourir devant le Tribunal fédéral.</w:t>
      </w:r>
    </w:p>
    <w:p>
      <w:r>
        <w:t>En tant que condition de recevabilité, la qualité pour recourir définit le cercle des personnes à qui est reconnue la faculté de contester un acte administratif (Pierre MOOR/Étienne POLTIER, op. cit., ch. 5.7.1.1 p. 719). Aux termes de l'art. 89 al. 1 LTF, a qualité pour former un recours en matière de droit public quiconque a pris part à la procédure devant l'autorité précédente ou été privé de la possibilité de le faire (let. a) ; est particulièrement atteint par la décision ou l'acte normatif attaqué (let. b) ; et a un intérêt digne de protection à son annulation ou à sa modification (let. c). Selon la jurisprudence, ces conditions sont cumulatives (ATF 137 II 40 consid. 2.2). Constitue un intérêt digne de protection, au sens de l'art. 89 al. 1 let.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p. 164 et les arrêts cités ; arrêt du Tribunal fédéral 2C_68/2015 précité consid. 4.3).</w:t>
      </w:r>
    </w:p>
    <w:p>
      <w:r>
        <w:t>b. 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w:t>
      </w:r>
    </w:p>
    <w:p>
      <w:r>
        <w:t>- 12/21 - A/4460/2017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142 II 80 consid. 1.4.2 ; 137 II 40 consid. 2.6.4 ; arrêt du Tribunal fédéral 2C_774/2014 du 21 juillet 2017 consid. 2.2 ; 1C_170/2015 du 18 août 2015 consid. 3.1).</w:t>
      </w:r>
    </w:p>
    <w:p>
      <w:r>
        <w:t>c. En l'espèce, inscrite en tant que société à responsabilité limitée au RC, la société dispose de la personnalité morale (art. 779 al. 1 de la loi fédérale du</w:t>
      </w:r>
    </w:p>
    <w:p>
      <w:r>
        <w:rPr>
          <w:b/>
        </w:rPr>
        <w:t>E. 30</w:t>
      </w:r>
    </w:p>
    <w:p>
      <w:r>
        <w:t>mars 1911, complétant le Code civil suisse - CO, Code des obligations - RS 220) et, partant, de la capacité d'être partie ainsi que d'ester en justice.</w:t>
      </w:r>
    </w:p>
    <w:p>
      <w:r>
        <w:t>Pour ce qui est de la fédération, ses statuts prévoient qu'elle est organisée sous la forme d'une association (art. 1 des statuts) et, de ce fait, dispose de la personnalité juridique. Elle a pour but de défendre les intérêts de ses membres dans toutes leurs relations avec des tiers, mais en particulier en coordination avec les autres associations des milieux du transport professionnel de personnes afin de renforcer leurs actions politiques et juridiques (art. 3 des statuts). Il ressort de la liste des membres qu'elle se compose d'entreprises de taxi parmi lesquelles figure la société ainsi que des personnes individuelles représentant des entreprises au sens de l'art. 4 let. c LTVTC (art. 4 des statuts). Ainsi, chaque membre de la fédération a a priori un intérêt digne de protection à contester la décision du PCTN du 24 octobre 2017.</w:t>
      </w:r>
    </w:p>
    <w:p>
      <w:r>
        <w:t>La société et la fédération sont en outre destinataires de la décision attaquée et étaient parties à la procédure non contentieuse. Elles sont par ailleurs directement touchées par la décision d'irrecevabilité attaquée et ont a priori un intérêt digne de protection à son annulation, car la décision leur dénie le droit d'obtenir une décision au fond contre laquelle elles pourraient recourir (art. 60 al. 1 LPA). Le point de savoir si les recourantes disposent, comme elles le prétendent, d'un droit à une telle décision relève du fond (arrêt du Tribunal fédéral 2C_68/2015 précité consid. 1.2). 3)</w:t>
      </w:r>
    </w:p>
    <w:p>
      <w:r>
        <w:t>Les recourantes recourent contre le courrier du PCTN du 24 octobre 2017. Elles fondent leur recours sur le droit à la constatation d'un acte illicite commis par le PCTN, en ce sens sa pratique violerait la législation applicable et plus particulièrement l'art. 47 al. 1 LTVTC. 4)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w:t>
      </w:r>
    </w:p>
    <w:p>
      <w:r>
        <w:t>- 13/21 - A/4460/2017 annuler ou constater des droits ou des obligations (let. c). Selon l’art. 4 al. 4 LPA, lorsqu’une autorité mise en demeure refuse sans droit de statuer ou tarde à se prononcer, son silence est assimilé à une décision.</w:t>
      </w:r>
    </w:p>
    <w:p>
      <w:r>
        <w:t>b. En droit genevois, la notion de décision est calquée sur le droit fédéral (art. 5 de la loi fédérale sur la procédure administrative du 20 décembre 1968 - PA - RS 172.021 ; Benoît BOVAY, Procédure administrative, 2ème éd., 2015, p. 101),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8C_220/2011 du 2 mars 2012 consid. 4.1.2 in SJ 2013 I 18 ; ATA/76/2017 du 31 janvier 2017 consid. 3b ; ATA/946/2016 du 8 novembre 2016 ; Ulrich HÄFELIN/Georg MÜLLER/Felix UHLMANN, Allgemeines Verwaltungsrecht, 7ème éd., 2016, p. 195 n. 874 ss ; Thierry TANQUEREL, op. cit., p. 269 ss n. 783 ss ; Pierre MOOR/Étienne POLTIER, op. cit., pp. 179 ss n. 2.1.2.1 ss et 245 n. 2.2.3.3). La confirmation d’une décision antérieure ne constitue pas une décision (Benoît BOVAY, op. cit., p. 349).</w:t>
      </w:r>
    </w:p>
    <w:p>
      <w:r>
        <w:t>c.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op. cit., p. 194 n. 2.1.1.1). De nature unilatérale, une décision se réfère à la loi dont elle reproduit le contenu normatif de la règle (Pierre MOOR/Étienne POLTIER, op. cit., p. 174 n. 2.1.1.1 ; Thierry TANQUEREL, op. cit., p. 274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(ATA/766/2016 du 13 septembre 2016 ; Jacques DUBEY/Jean-Baptiste ZUFFEREY, op. cit. p. 320 n. 876).</w:t>
      </w:r>
    </w:p>
    <w:p>
      <w:r>
        <w:t>d. Pour être valables, les décisions doivent être désignées comme telles, motivées et signées. Elles doivent en outre indiquer les voies et délais de recours (art. 46 al. 1 LPA). Elles sont notifiées aux parties, le cas échéant à leur domicile élu auprès de leur mandataire, par écrit (art. 46 al. 2 LPA).</w:t>
      </w:r>
    </w:p>
    <w:p>
      <w:r>
        <w:t>e. En l'occurrence, le 13 octobre 2017, les recourantes ont requis du PCTN qu'il rende une décision dans laquelle il devait notamment se déterminer sur le caractère licite ou non des cessions d'AUADP à des personnes n'étant pas titulaires d'AUADP.</w:t>
      </w:r>
    </w:p>
    <w:p>
      <w:r>
        <w:t>- 14/21 - A/4460/2017</w:t>
      </w:r>
    </w:p>
    <w:p>
      <w:r>
        <w:t>Dans son courrier de réponse du 24 octobre 2017, le PCTN, autorité administrative au sens de l'art. 5 let. d LPA, a déclaré irrecevable la demande en constatation, au motif que les recourantes ne disposaient pas d'un intérêt digne de protection. 5) a. Selon l'art. 4A LPA, toute personne qui a un intérêt digne de protection, peut exiger que l'autorité compétente pour des actes fondés sur le droit fédéral, cantonal ou communal et touchant à des droits ou des obligations s'abstienne d'actes illicites, cesse de les accomplir, ou les révoque (al. 1 let. a), élimine les conséquences d'actes illicites (al. 1 let. b), constate le caractère illicite de tels actes (al. 1 let. c). L'autorité statue par décision (al. 2).</w:t>
      </w:r>
    </w:p>
    <w:p>
      <w:r>
        <w:t>b. L’art. 4A LPA confère à toute personne ayant un intérêt digne de protection le droit d'exiger que l'autorité compétente pour les actes fondés sur le droit fédéral, cantonal ou communal et touchant à des droits ou des obligations statue par décision. L'art. 4A LPA a une teneur similaire à l'art. 25a de la loi fédérale sur la procédure administrative du 20 décembre 1968 (PA - RS 172.021), qui a été introduit par le législateur fédéral pour garantir l'accès au juge prévu par l'art. 29a de la Constitution fédérale de la Confédération suisse du 18 avril 1999 (Cst. - RS 101) et par l’art. 6 § 1 de la Convention de sauvegarde des droits de l’homme et des libertés fondamentales du 4 novembre 1950 (CEDH - RS 0.101), avec la nuance suivante. L’art. 25a PA vise uniquement les actes matériels fondés sur le droit public fédéral, alors que l’art. 4A LPA concerne les actes matériels fondés sur le « droit fédéral, cantonal ou communal ».</w:t>
      </w:r>
    </w:p>
    <w:p>
      <w:r>
        <w:t>Le droit d'accès au juge tel que prévu par ces dispositions ne vise pas à créer de nouveaux droits matériels sans fondement légal, mais à accorder une protection procédurale à des droits reconnus (ACEDH H. c. Belgique, du 30 novembre 1987, Série A 127-B, § 41 ss cité dans l'exposé des motifs du Conseil d’État à l'appui du PL 10'253, p. 25, MGC (en ligne), séance 42 du 22 mai 2008 à 17h00 ; ATA/225/2014 du 8 avril 2014 consid. 8 ; ATA/164/2011 du 15 mars 2011 consid. 5 ; ATA/142/2011 du 8 mars 2011 consid. 5). Les art. 25A PA et art. 4A LPA poursuivent ainsi le même but. Ils mettent en œuvre la jurisprudence fédérale, selon laquelle, lorsqu’un acte matériel de l’État viole des droits fondamentaux, les administrés peuvent obtenir une décision de constatation sujette à recours devant une instance juridictionnelle (ATF 128 II 156 et jurisprudence citée ; ATF 133 I 58 ; 133 I 49 ; arrêt du Tribunal fédéral 2P.324/2001 du 28 mars 2002 ; ATA/142/2011 précité ; Mémorial des séances du Grand Conseil de la République et canton de Genève [en ligne], exposé des motifs du 5 mai 2008 du Conseil d’État, à l’appui du PL 10'253, disponible sur http://www.ge.ch/grandconseil/data/texte/PL10253.pdf ; Thierry TANQUEREL, op. cit., n. 693 ss ; ATA/50/2017 du 24 janvier 2017 consid. 4b).</w:t>
      </w:r>
    </w:p>
    <w:p>
      <w:r>
        <w:t>- 15/21 - A/4460/2017</w:t>
      </w:r>
    </w:p>
    <w:p>
      <w:r>
        <w:t>c. Il s'agit dès lors d'examiner si les recourantes peuvent se prévaloir d'un droit qui aurait été violé par le PCTN en autorisant les cessions d'AUADP à des personnes n'étant pas titulaires d'AUADP. 6)</w:t>
      </w:r>
    </w:p>
    <w:p>
      <w:r>
        <w:t>Il convient de déterminer préalablement le droit applicable.</w:t>
      </w:r>
    </w:p>
    <w:p>
      <w:r>
        <w:t>a. Selon l'art. 10 LTVTC, les voitures de taxis sont au bénéfice d'une AUADP. Chaque autorisation correspond à une immatriculation (al. 1). Le nombre des autorisations est limité en vue d'assurer un bon fonctionnement des services de taxis, par une utilisation optimale du domaine public, et en vue de garantir la sécurité publique (al. 2). Le Conseil d'État fixe le nombre maximal d'autorisations en fonction des besoins évalués périodiquement (al. 3).</w:t>
      </w:r>
    </w:p>
    <w:p>
      <w:r>
        <w:t>Le nombre maximal d'AUADP est fixé à mille cent (art. 21 RTVTC).</w:t>
      </w:r>
    </w:p>
    <w:p>
      <w:r>
        <w:t>À teneur de l'art. 25 RTVTC, lorsque la requête initiale en délivrance d'une AUADP est valablement formée mais que le nombre maximal fixé à l'art. 21 RTVTC est atteint, le PCTN en informe le requérant et l'inscrit, sauf opposition expresse, sur une liste d'attente anonymisée publiée sur le site internet du PCTN (al. 1). L'inscription sur la liste d'attente s'opère de manière chronologique, selon le jour du dépôt de la requête valable. Elle met un terme à l'instruction de celle-ci (al. 2). Dès qu'une immatriculation se libère, le service en informe la personne en tête de liste, par courrier recommandé, et l'invite à déposer une nouvelle requête, dans un délai de trente jours. La personne est réputée renoncer à la délivrance d'une AUADP si elle ne dépose pas de nouvelle requête dans le délai imparti (al. 3).</w:t>
      </w:r>
    </w:p>
    <w:p>
      <w:r>
        <w:t>b. Au chapitre des dispositions finales et transitoires de la LTVTC, l'art. 47 LTVTC précise que le titulaire d'une AUADP au sens de l'art. 10 précité a la faculté, pendant une durée de six mois dès l'entrée en vigueur de la LTVTC, de céder son autorisation à un autre titulaire d'autorisation (al. 1). La validité de la cession, qui ne peut intervenir qu'une seule fois par autorisation, est soumise à l'établissement d'un contrat écrit entre le cédant et le cessionnaire, dont un exemplaire original est obligatoirement remis au département, avant l'échéance du délai de six mois fixé à l'al. 1 (al. 2). La cession ne devient effective que lorsqu'elle a été enregistrée formellement par le département, qui adapte l'autorisation en conséquence. Le service compétent pour les immatriculations est informé par le département, les démarches administratives de mise en conformité des documents officiels incombant exclusivement aux parties à la cession (al. 3). La cession de l'autorisation éteint définitivement toute prétention, du cédant ou du cessionnaire, au paiement du montant compensatoire de la taxe unique au sens de la loi sur les taxis et limousines du 21 janvier 2005 (LTaxis - H 1 30) (al. 4).</w:t>
      </w:r>
    </w:p>
    <w:p>
      <w:r>
        <w:t>Selon l'art. 63 RTVTC, les personnes visées à l'art. 47 LTVTC qui souhaitent céder leur AUADP peuvent faire usage du contrat-type de cession</w:t>
      </w:r>
    </w:p>
    <w:p>
      <w:r>
        <w:t>- 16/21 - A/4460/2017 établi par le PCTN en vue d'accélérer la procédure d'enregistrement de la cession (al. 1). Le PCTN vérifie les conditions de l'art. 47 al. 1 et 2 LTVTC avant de procéder à l'enregistrement formel de la cession. Il tient un registre des cessions (al. 2). Le PCTN procède conformément à l'art. 47 al. 3 LTVTC et, le cas échéant, à la radiation du cessionnaire de la liste d'attente de l'art. 21 al. 3 LTaxis (al. 4). 7)</w:t>
      </w:r>
    </w:p>
    <w:p>
      <w:r>
        <w:t>En l'espèce, le titulaire d'une AUADP bénéficie de certains privilèges par rapport aux autres transporteurs professionnels de personnes regroupés dans la catégorie des chauffeurs de « voiture de transport avec chauffeur ». En effet, le titulaire d'une AUADP peut notamment s'arrêter aux stations de taxis dans l'attente de clients (art. 19 al. 1 let. a LTVTC), utiliser les voies réservées aux transports en commun, s'il transporte des passagers (art. 19 al. 1 let. b LTVTC), emprunter les zones ou les rues dans lesquelles la circulation est restreinte, s'il transporte des clients ou répond à une commande (art. 19 al. 1 let. c LTVTC).</w:t>
      </w:r>
    </w:p>
    <w:p>
      <w:r>
        <w:t>Or, du fait de sa pratique autorisant des cessions d'AUADP à des personnes n'étant pas titulaires d'AUADP, et compte tenu du nombre limité d'AUADP (art. 21 RTVTC), ainsi que de la mise en place d'une procédure de liste d'attente (art. 25 RTVTC), les recourantes ont vu leur faculté d'acquisition d'AUADP réduite. D'ailleurs, il ressort du courrier du 25 janvier 2018 du PCTN que ce sont quarante et une AUADP qui ne se trouvent plus sur le marché des AUADP. Ces éléments suffisent à faire bénéficier les recourantes d'un intérêt digne de protection au sens de l'art. 4A LPA.</w:t>
      </w:r>
    </w:p>
    <w:p>
      <w:r>
        <w:t>Le PCTN ne s'y est du reste pas trompé, puisque, bien que niant un intérêt digne de protection aux recourantes, il ressort de l'analyse de son courrier du 24 octobre 2017 qu'il s'est malgré tout déterminé sur le fond de leur requête, considérant sa pratique comme licite, tout comme les enregistrements des cessions d'AUADP à des personnes n'étant pas titulaires d'AUADP.</w:t>
      </w:r>
    </w:p>
    <w:p>
      <w:r>
        <w:t>Le recours est ainsi recevable. 8)</w:t>
      </w:r>
    </w:p>
    <w:p>
      <w:r>
        <w:t>Les recourantes soutiennent que la pratique du PCTN est illicite.</w:t>
      </w:r>
    </w:p>
    <w:p>
      <w:r>
        <w:t>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141 II 280 consid. 6.1 ; 140 II 202 consid. 5.1 ; arrêt du Tribunal fédéral 2C_961/2016 du 30 mars 2017 consid. 4.1). Le juge ne privilégie aucune méthode d'interprétation, mais s’inspire d’un pluralisme pragmatique pour rechercher le sens véritable de la norme ; il ne se</w:t>
      </w:r>
    </w:p>
    <w:p>
      <w:r>
        <w:t>- 17/21 - A/4460/2017 fonde sur la compréhension littérale du texte que s'il en découle sans ambiguïté une solution matériellement juste (ATF 135 II 243 consid. 4.1 ; 133 III 175 consid. 3.3.1 ; arrêt du Tribunal fédéral 1C_102/2016 du 20 décembre 2016 consid. 2.3 ; ATA/127/2018 du 6 février 2018 consid. 5a).</w:t>
      </w:r>
    </w:p>
    <w:p>
      <w:r>
        <w:t>b. Bien que les travaux préparatoires ne lient pas le juge, ils ne sont pas dénués d'intérêt et peuvent s’avérer utiles pour dégager le sens d’une norme (ATF 135 II 78 consid. 2.2 ; 119 II 183 consid. 4b ; ATA/1384/2017 du 10 octobre 2017 consid. 11a et les références citées). Ils ne seront toutefois pris en considération que s'ils donnent une réponse claire à une disposition légale ambiguë et qu'ils trouvent expression dans le texte de la loi (ATF 124 III 126 consid. 1b ; arrêt du Tribunal fédéral 2C_939/2011 du 7 août 2012 consid. 4 ; ATA/127/2018 précité consid. 5c ; ATA/1384/2017 précité consid. 11a et les références citées).</w:t>
      </w:r>
    </w:p>
    <w:p>
      <w:r>
        <w:t>c.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 138 V 445 consid. 5.1). En dehors du cadre ainsi défini, des considérations fondées sur le droit désirable ne permettent pas de s'écarter du texte clair de la loi, surtout si elle est récente (ATF 118 II 333 consid. 3e ; ATA/127/2018 précité consid. 5d ; ATA/1384/2017 précité consid. 11b).</w:t>
      </w:r>
    </w:p>
    <w:p>
      <w:r>
        <w:t>d. À propos de l'art. 46 du projet de la LTVTC, devenu l'art. 47 LTVTC, les travaux préparatoires précisent qu'afin de favoriser la création d'entreprises et de synergies des acteurs du milieu, le projet propose une disposition transitoire innovante. Il s'agit de permettre aux titulaires d'AUADP de céder leurs autorisations à d'autres titulaires qui seraient intéressés à en acquérir d'autres, par exemple pour mettre sur pied une entreprise. Ces cessions, qui se déroulent sous seing privé, doivent être néanmoins strictement encadrées. Tout d'abord, elles peuvent intervenir uniquement pendant un délai transitoire de six mois. Celui-ci peut paraître court mais il est suffisant pour s'organiser, surtout pour des acteurs qui sont déjà sur le marché. Une limitation temporelle est nécessaire pour ne pas se mettre en porte-à-faux avec les principes constitutionnels de la liberté économique et de l'égalité de traitement. En effet, les nouveaux candidats à l'obtention d'une autorisation ne doivent pas être lésés par ces cessions qui vont s'opérer hors des critères usuels d'attribution. Même sans ce mécanisme de cessibilité, il apparaît peu probable que, dans les six mois suivant l'entrée en vigueur de la loi, de nombreux chauffeurs quittent la profession. Leur nombre serait de toute façon insignifiant (Mémorial des séances du Grand Conseil de la</w:t>
      </w:r>
    </w:p>
    <w:p>
      <w:r>
        <w:t>- 18/21 - A/4460/2017 République et canton de Genève [en ligne] [ci-après : MGC], séance 49 du 17 septembre 2015 à 17h00, PL 11'709, p. 52-53, consultable en ligne sur http://ge.ch/grandconseil/data/texte/PL11709.pdf).</w:t>
      </w:r>
    </w:p>
    <w:p>
      <w:r>
        <w:t>e. En l'espèce, le texte de l'art. 47 al. 1 LTVTC indique que le titulaire d'une AUADP au sens de l'art. 10 LTVTC a la faculté, pendant une durée de six mois dès l'entrée en vigueur de la LTVTC, de céder son autorisation à un autre titulaire d'autorisation. Les termes employés dans cette disposition sont clairs, de sorte que la chambre de céans ne saurait souscrire à l'interprétation faite par le PCTN de cette disposition.</w:t>
      </w:r>
    </w:p>
    <w:p>
      <w:r>
        <w:t>En effet, les mots « à un autre titulaire d'autorisation » vise uniquement les chauffeurs de taxi d'ores et déjà au bénéfice d'au moins une AUADP et non pas, comme le soutient l'intimé, des personnes n'en étant pas titulaires.</w:t>
      </w:r>
    </w:p>
    <w:p>
      <w:r>
        <w:t>Les interprétations historique, téléologique et systématique de cette disposition viennent d'ailleurs confirmer l'interprétation littérale de cette disposition.</w:t>
      </w:r>
    </w:p>
    <w:p>
      <w:r>
        <w:t>En effet, les travaux préparatoires reproduits ci-dessus précisent qu'il s'agit « de permettre aux titulaires d'AUADP de céder leurs autorisations à d'autres titulaires qui seraient intéressés à en acquérir d'autres ». Les termes « à en acquérir d'autres » présupposent que les cessionnaires soient d'ores et déjà au bénéfice d'au moins une AUADP. De plus et à propos du délai de six mois, celui-ci est considéré comme suffisant pour s'organiser, surtout pour des acteurs « qui sont déjà sur le marché ». Cette notion de présence effective des acteurs sur le marché des AUADP vient corroborer cette interprétation. D'ailleurs, la limitation temporelle a pour but de ne pas léser, par ces cessions, les nouveaux candidats à l'obtention d'une AUADP, selon les travaux préparatoires, ce qui prouve bien que les personnes non titulaires d'AUADP n'étaient pas visées par l'art. 47 al. 1 LTVTC.</w:t>
      </w:r>
    </w:p>
    <w:p>
      <w:r>
        <w:t>Il est vrai que le but de cet article est de favoriser la création d'entreprises et de synergies des acteurs du milieu. Toutefois, ce but peut également être atteint par la création d'une flotte de chauffeurs de taxi, déjà au bénéfice d'une AUADP, qui ont obtenu une autre ou plusieurs AUADP par le biais de l'art. 47 al. 1 LTVTC. L'interprétation de la norme telle qu'elle se dégage des travaux préparatoires n'empêche pas la réalisation de ce but.</w:t>
      </w:r>
    </w:p>
    <w:p>
      <w:r>
        <w:t>Enfin, force est de constater que l'art. 47 LTVTC a pour titre « Cession des AUADP », ce qui permet de conclure que le terme « autorisation » utilisé dans cet article vise uniquement une AUADP. De plus et plus généralement, le mot « autorisation » est utilisé seul à plusieurs reprises dans la LTVTC. À titre d'exemple, l'art. 10 al. 1 1ère phr. LTVTC fait référence à une « autorisation d'usage accru du domaine public ». Dans la deuxième phrase de cet article, le mot</w:t>
      </w:r>
    </w:p>
    <w:p>
      <w:r>
        <w:t>- 19/21 - A/4460/2017 « autorisation » est utilisé seul, toutefois et au vu de la première phrase, il s'agit également de la notion d'« autorisation d'usage accru du domaine public ». L'art. 47 al. 1 LTVTC utilise le même style de rédaction que cet article en faisant d'abord référence à l'« autorisation d'usage accru du domaine public », puis en utilisant par deux fois le terme « autorisation » seul, dans le but unique d'éviter la répétition d'« autorisation d'usage accru du domaine public ». S'il est vrai que dans certains articles de la LTVTC, le mot « autorisation » utilisé seul fait référence soit à un permis de travail (art. 5 al. 2 let. b LTVTC), soit à des autorisations délivrées par les autorités d'autres cantons (art. 13 al. 1 et 2 LTVTC), soit à toutes les autorisations prévues par la loi (cartes professionnelle et AUADP) (art. 27 et 37 al. 3 LTVTC), cela n'a pas d'effets sur l'interprétation de l'art. 47 al. 1 LTVTC, au vu du style de rédaction utilisé dans cet article.</w:t>
      </w:r>
    </w:p>
    <w:p>
      <w:r>
        <w:t>Ainsi, l'interprétation littérale, historique, téléologique et systématique de l'art. 47 al. 1 LTVTC amène à constater que cette disposition n'autorise les cessions d'AUADP qu'à des chauffeurs de taxi d'ores et déjà titulaires d'une AUADP.</w:t>
      </w:r>
    </w:p>
    <w:p>
      <w:r>
        <w:t>Il en découle que la pratique de l'intimé visant à autoriser, du 1er juillet 2017 au 31 décembre 2017, les cessions d'AUADP à des personnes non titulaires d'une AUADP, lors de la conclusion du contrat de cession, est illicite. Il en est de même de leurs enregistrements au registre des cessions, ce que la chambre de céans se doit de constater. 9)</w:t>
      </w:r>
    </w:p>
    <w:p>
      <w:r>
        <w:t>Au vu de ce qui précède, le recours sera admis et la décision du PCTN du 24 octobre 2017 sera annulée.</w:t>
      </w:r>
    </w:p>
    <w:p>
      <w:r>
        <w:t>Le dossier sera renvoyé au PCTN pour qu'il prenne les mesures appropriées concernant les quarante et une cessions d'AUADP à des personnes qui n'étaient pas déjà titulaires d'une AUADP et leurs enregistrements illicites. Le PCTN devra tenir compte des principes de droit constitutionnel, en particulier celui de la protection de la bonne foi. 10) Aucun émolument ne sera perçu (art. 87 al. 1 LPA). Une indemnité de procédure de CHF 1’500.- sera allouée aux recourantes, prises conjointement et solidairement, à la charge de l’État de Genève (art. 87 al. 2 LPA).</w:t>
      </w:r>
    </w:p>
    <w:p>
      <w:r>
        <w:t>* * * * *</w:t>
      </w:r>
    </w:p>
    <w:p>
      <w:r>
        <w:t>- 20/21 - A/4460/2017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