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ATA/384/2018 vom 24. April 2018</w:t>
      </w:r>
    </w:p>
    <w:p>
      <w:r>
        <w:t>GE Cour de justice, 2018-04-24, FR</w:t>
      </w:r>
    </w:p>
    <w:p>
      <w:r>
        <w:rPr>
          <w:b/>
        </w:rPr>
        <w:t xml:space="preserve">Quelle: </w:t>
      </w:r>
      <w:r>
        <w:t>https://mcp.opencaselaw.ch/entscheid/ge_gerichte_ATA_384_2018</w:t>
      </w:r>
    </w:p>
    <w:p>
      <w:r>
        <w:t>FR: GE_GERICHTE ATA/384/2018 du 24 avril 2018</w:t>
      </w:r>
    </w:p>
    <w:p>
      <w:r>
        <w:t>IT: GE_GERICHTE ATA/384/2018 del 24 aprile 2018</w:t>
      </w:r>
    </w:p>
    <w:p>
      <w:pPr>
        <w:pStyle w:val="Heading2"/>
      </w:pPr>
      <w:r>
        <w:t>Erwägungen</w:t>
      </w:r>
    </w:p>
    <w:p>
      <w:r>
        <w:rPr>
          <w:b/>
        </w:rPr>
        <w:t>E. 31</w:t>
      </w:r>
    </w:p>
    <w:p>
      <w:r>
        <w:t>octobre 2017 ; ATA/490/2017 du 2 mai 2017 et les références citées).</w:t>
      </w:r>
    </w:p>
    <w:p>
      <w:r>
        <w:t>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(arrêts du Tribunal fédéral 2C_197/2010 du 30 avril 2010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À cet égard, l’autorité adjudicatrice dispose d’un certain pouvoir d’appréciation quant au degré de sévérité dont elle désire faire preuve dans le traitement des offres (ATA/490/2017 précité ; ATA/175/2016 du 23 février 2016). L’interdiction du formalisme excessif n’oblige cependant pas le pouvoir adjudicateur à interpeller un soumissionnaire en présence d’une offre défaillante (arrêt du Tribunal fédéral 2C_197/2010 du 30 avril 2010 consid. 6.5).</w:t>
      </w:r>
    </w:p>
    <w:p>
      <w:r>
        <w:t>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(ATA/1446/2017 précité ; ATA/490/2017 précité ; ATA/1216/2015 du 10 novembre 2015 et les références citées).</w:t>
      </w:r>
    </w:p>
    <w:p>
      <w:r>
        <w:t>L’attribution des marchés publics suppose la réalisation de conditions qui peuvent se classer dans différentes catégories. 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(cf. art. 13 let. d AIMP).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w:t>
      </w:r>
    </w:p>
    <w:p>
      <w:r>
        <w:t>- 6/8 - A/3970/2017 hommes (art. 11 let. e et f AIMP), indépendamment du lien entre ces exigences et l'aptitude de l'entreprise à réaliser le marché (ATF 140 I 285 consid. 5.1 et les références citées).</w:t>
      </w:r>
    </w:p>
    <w:p>
      <w:r>
        <w:t>c.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4)</w:t>
      </w:r>
    </w:p>
    <w:p>
      <w:r>
        <w:t>En l’espèce, les exigences posées par l’autorité adjudicatrice sous peine d’exclusion, à savoir celles de produire une attestation de l’autorité fiscale justifiant du paiement de l’impôt à la source ainsi que de justifier de l’affiliation à la CCT-GE ou d’un engagement pris auprès de l’OCIRT visant au respect des usages en vigueur à Genève dans la branche pour laquelle la soumission était prévue, sont des critères à ranger dans la première catégorie telle qu’énoncée par le Tribunal fédéral, soit des exigences qui subordonnent l’accès à la procédure.</w:t>
      </w:r>
    </w:p>
    <w:p>
      <w:r>
        <w:t>Ces critères répondent à la définition d’un critère d’aptitude devant permettre de garantir le respect des soumissionnaires à faire une offre tenant compte des impératifs légaux en matière d’obligations fiscales et de respect des conditions de travail des employés oeuvrant sur le marché concerné. Il s’agit de critères objectifs et vérifiables, de nature à justifier l’exclusion du marché.</w:t>
      </w:r>
    </w:p>
    <w:p>
      <w:r>
        <w:t>Or, l’attestation fiscale requise n’a pas été produite par la recourante avec le dossier de soumission. S’agissant d’un critère formel important, sa non-présentation pouvait, sans consacrer un formalisme excessif, fonder l’exclusion du marché. Le fait que, comme le fait valoir la recourante, elle n’entendait pas employer de travailleurs soumis à l’impôt anticipé ne la dispensait pas de produire une attestation formelle certifiant qu’elle s’était acquittée de ses obligations en matière d’impôt à la source retenu sur les salaires de son personnel ou qu'elle n'avait pas de personnel soumis à cet impôt. La présentation d’une telle attestation avait, en effet, expressément été requise.</w:t>
      </w:r>
    </w:p>
    <w:p>
      <w:r>
        <w:t>Par ailleurs, la recourante ne s’est pas conformée non plus à l’exigence de l’autorité adjudicatrice de produire une attestation de son affiliation à la CCT-GE ou, à défaut, de son engagement envers l’OCIRT à respecter les usages en vigueur à Genève dans la branche pour laquelle elle soumissionnait. Elle a, certes, prouvé par pièce, dans le délai de soumission, qu’elle était liée par la CCT-CH. L’art. 2 al. 1 de l’arrêté du Conseil fédéral du 22 mai 2014 étendant le champ d’application de la CCT-CH exclut toutefois cette extension au canton de Genève.</w:t>
      </w:r>
    </w:p>
    <w:p>
      <w:r>
        <w:t>- 7/8 - A/3970/2017 L’attestation produite par la recourante ne répondait ainsi pas à l’exigence posée en la matière par l’autorité adjudicatrice. La recourante n’a pas produit d’autre attestation, justifiant soit de son affiliation à la CCT-GE soit de son engagement auprès de l’OCIRT, telle qu’elle était spécifiée tant dans l’appel d’offre qu’à l’art. 32 al. 1 let. b RMP.</w:t>
      </w:r>
    </w:p>
    <w:p>
      <w:r>
        <w:t>Par conséquent, l’exclusion de la recourante est dûment prévue par les art. XIII al. 4 let. a AMP, 13 let. d AIMP, 33 et 42 al. 1 let a et b notamment RMP. L’aspect obligatoire des exigences posées et la sanction appliquée en cas de non-respect de celles-ci, à savoir l’exclusion, étaient dûment mentionnés et mis en évidence tant dans l’appel d’offres que dans le dossier d'appel d'offres. Il ne s’agissait aucunement d’une condition d’adjudication, ce que la recourante ne prétend d’ailleurs pas, mais exclusivement d’une exigence subordonnant l'accès à la procédure au sens du chapitre III RMP.</w:t>
      </w:r>
    </w:p>
    <w:p>
      <w:r>
        <w:t>Partant, le recours est mal fondé et sera ainsi rejeté. 5)</w:t>
      </w:r>
    </w:p>
    <w:p>
      <w:r>
        <w:t>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