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ATA/382/2023 vom 18. April 2023</w:t>
      </w:r>
    </w:p>
    <w:p>
      <w:r>
        <w:t>GE Cour de justice, 2023-04-18, FR</w:t>
      </w:r>
    </w:p>
    <w:p>
      <w:r>
        <w:rPr>
          <w:b/>
        </w:rPr>
        <w:t xml:space="preserve">Quelle: </w:t>
      </w:r>
      <w:r>
        <w:t>https://mcp.opencaselaw.ch/entscheid/ge_gerichte_ATA_382_2023</w:t>
      </w:r>
    </w:p>
    <w:p>
      <w:r>
        <w:t>FR: GE_GERICHTE ATA/382/2023 du 18 avril 2023</w:t>
      </w:r>
    </w:p>
    <w:p>
      <w:r>
        <w:t>IT: GE_GERICHTE ATA/382/2023 del 18 aprile 2023</w:t>
      </w:r>
    </w:p>
    <w:p>
      <w:pPr>
        <w:pStyle w:val="Heading2"/>
      </w:pPr>
      <w:r>
        <w:t>Regeste</w:t>
      </w:r>
    </w:p>
    <w:p>
      <w:r>
        <w:t>Résumé: Dossier retourné par le Tribunal fédéral pour instruction. Dans la mesure où la recourante était au bénéfice d'un contrat de durée déterminée, l'intimé n'est pas tenu de rendre une décision de fin des rapports de travail, ceux-ci prenant fin ipso iure. Les rapports de travail ont pris fin sans discrimination ni violation de la LEg. Toutefois, les enquêtes ont démontré que l'intimé avait adopté une pratique administrative visant à « fixer » les collaborateurs au bénéfice d'un contrat de durée déterminée pendant la période au cours de laquelle la recourante était enceinte. L'intimé ne pouvait pas exclure la recourante dans ce processus en prenant en considération sa grossesse et ses absences en découlant. Le dossier contient également différents indices attestant sa situation de handicap qui a été retenue à son désavantage. Discrimination directe à l'embauche retenue. Indemnité de trois mois de salaire brut octroyé. Recours partiellement admis.</w:t>
      </w:r>
    </w:p>
    <w:p>
      <w:pPr>
        <w:pStyle w:val="Heading2"/>
      </w:pPr>
      <w:r>
        <w:t>Erwägungen</w:t>
      </w:r>
    </w:p>
    <w:p>
      <w:r>
        <w:rPr>
          <w:b/>
        </w:rPr>
        <w:t>E. 19</w:t>
      </w:r>
    </w:p>
    <w:p>
      <w:r>
        <w:t>juillet 2019 consid. 2c et les arrêts cités). Enfin, la possibilité de recourir doit</w:t>
      </w:r>
    </w:p>
    <w:p>
      <w:r>
        <w:t>- 27/43 - A/2905/2020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(ATA/1021/2020 précité consid. 4a ; ATA/1152/2019 précité consid. 2c et les arrêts cités).</w:t>
      </w:r>
    </w:p>
    <w:p>
      <w:r>
        <w:t>b. En l'occurrence, il n'est pas contesté par l'intimé que trois pièces n'ont pas été transmises à la recourante le 15 avril 2020.</w:t>
      </w:r>
    </w:p>
    <w:p>
      <w:r>
        <w:t>Il s'agit d'un courriel aux termes duquel la recourante avait été choisie en 2018 en lieu et place d'une autre candidate. La chambre de céans ne perçoit pas en quoi le contenu de ce courriel aurait eu une influence décisive dans le cadre du litige, et la recourante ne l'explique d'ailleurs pas.</w:t>
      </w:r>
    </w:p>
    <w:p>
      <w:r>
        <w:t>Le deuxième document est un courriel du SSP adressé au médecin-conseil de l'hospice le sollicitant pour un bilan d'aptitude dans le cadre de la grossesse de la recourante. Il y est également fait état de la chute dans les toilettes, du fait que ses collègues avaient dû la relever, de la circonstance qu'elle n'arrivait plus à écrire à l'ordinateur et qu'elle disposait d'un commis administratif pour l'assister dans ses tâches. La recourante avait connaissance du contenu de ce courriel, puisqu'il ressort de son courrier du 4 octobre 2019 à l'hospice qu'elle contestait ces éléments. En outre, ses difficultés à écrire à l'ordinateur lui étaient connues, puisque le rapport du Dr I______ du 18 février 2020 produit par la recourante évoque la question d'un clavier mono-manuel, de sorte qu'également sur ce point l'intéressée n'est pas fondée à se prévaloir d'une violation de son droit d'être entendue.</w:t>
      </w:r>
    </w:p>
    <w:p>
      <w:r>
        <w:t>Enfin, la dernière pièce est un échange de courriels à propos d'une attestation médicale concernant les personnes vulnérables durant la pandémie Covid-19. Comme le souligne à juste titre l'intimé, la position du Dr F______ à ce propos était connue de la recourante puisqu'il ressort de l'échange de courriels entre les RH de l'hospice et son mandataire que cette attestation n'était pas suffisante pour une reprise de travail.</w:t>
      </w:r>
    </w:p>
    <w:p>
      <w:r>
        <w:t>Au vu de ces éléments, le droit d'être entendu de la recourante n'a pas été violé, ce d'autant moins que la recourante a pu prendre connaissance de ces pièces dans le cadre de la procédure.</w:t>
      </w:r>
    </w:p>
    <w:p>
      <w:r>
        <w:t>Le grief sera écarté. 5)</w:t>
      </w:r>
    </w:p>
    <w:p>
      <w:r>
        <w:t>La recourante soulève le grief de l'établissement et de la constatation incomplète et inexacte des faits pertinents. Elle reproche à l'intimé d'avoir retenu, dans la décision litigieuse, que l'arrêt de travail préconisé le 7 février 2019 par le Dr F______ l'avait été avec son accord et celui de son gynécologue. En outre, les arrêts de travail à 100 % prononcés par sa médecin traitante entre le 1er octobre</w:t>
      </w:r>
    </w:p>
    <w:p>
      <w:r>
        <w:t>- 28/43 - A/2905/2020 2019 et le 17 mars 2020 l'avaient été pour lui permettre d'effectuer la rééducation et l'évaluation demandées par le médecin-conseil de l'intimé. Il était par ailleurs contraire à la vérité que la reprise du travail « dans un lieu adapté et aménagé » n'ait « pas pu avoir lieu comme prévu, compte tenu de la décision de l'office AI qui indiquait qu'un stage obligatoire devait être effectué ». Enfin et contrairement à ce qu'indiquait la décision entreprise, la reprise en télétravail aurait été possible avant le 12 mai 2020, date du certificat médical émis par sa médecin traitante.</w:t>
      </w:r>
    </w:p>
    <w:p>
      <w:r>
        <w:t>a.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au moyen de documents (let. a).</w:t>
      </w:r>
    </w:p>
    <w:p>
      <w:r>
        <w:t>b. En l'espèce, selon le courrier adressé le 7 février 2019 par le Dr F______ au SSP, la recourante avait convenu, après discussion avec lui le 6 février 2019, qu'elle n'avait pas de capacité de travail dans sa fonction. Elle allait ainsi demander une augmentation de son taux d'incapacité de 50 à 100 %. En outre et par certificat médical du 7 février 2019, son gynécologue avait attesté d'une capacité de travail de 0 % pour une durée indéterminée. Ainsi, l'intimé était en droit de retenir ces faits.</w:t>
      </w:r>
    </w:p>
    <w:p>
      <w:r>
        <w:t>Dans la mesure où il ne ressort pas des différents certificats médicaux émis par la médecin traitante de la recourante entre le 1er octobre 2019 et le 17 mars 2020 que les arrêts de travail avaient pour but de lui permettre d'effectuer la rééducation et l'évaluation, l'intimé était également en droit de se limiter à faire état des dates des arrêts de travail.</w:t>
      </w:r>
    </w:p>
    <w:p>
      <w:r>
        <w:t>Quand bien même le Dr I______ ainsi que le médecin-conseil de l'intimé ont, le 18 février 2020, proposé une reprise thérapeutique, celle-ci n'a pas pu avoir lieu compte tenu de l'arrêt de travail de la recourante dès le 17 février 2020 selon le certificat médical de sa médecin traitante du 27 février 2020. En outre et comme le retient à juste titre la décision attaquée, l'office AI a demandé, par décision du 9 mars 2020, qu'une observation professionnelle soit mise en œuvre. Au vu de ces éléments, l'intimé pouvait valablement retenir que la reprise thérapeutique n'avait pas pu avoir lieu comme prévu.</w:t>
      </w:r>
    </w:p>
    <w:p>
      <w:r>
        <w:t>Enfin, ce n'est que le 12 mai 2020 que la médecin traitante de la recourante a attesté, par certificat médical, que l'intéressée pouvait retravailler à 20 % jusqu'au 31 mai 2020 puis à 50 %, si bien que la mention de ce fait dans la décision litigieuse est bien attestée par une pièce figurant au dossier.</w:t>
      </w:r>
    </w:p>
    <w:p>
      <w:r>
        <w:t>Pour le surplus et en toute hypothèse, la constatation des faits, en procédure administrative, est gouvernée par le principe de la libre appréciation des preuves,</w:t>
      </w:r>
    </w:p>
    <w:p>
      <w:r>
        <w:t>- 29/43 - A/2905/2020 qui signifie que le juge forme librement sa conviction, en analysant la force probante des preuves administrées, dont ni le genre, ni le nombre n'est déterminant, mais uniquement la force de persuasion (art. 20 al. 1 LPA ; ATA/109/2021 du 2 février 2021 consid. 12b).</w:t>
      </w:r>
    </w:p>
    <w:p>
      <w:r>
        <w:t>Par conséquent, les remarques et interprétations de la recourante à propos des autres pièces figurant au dossier seront discutées, pour autant qu'elles soient pertinentes pour l'issue du litige, dans le cadre de ses griefs relatifs à l'interdiction de la discrimination des personnes handicapées et de la loi sur l'égalité.</w:t>
      </w:r>
    </w:p>
    <w:p>
      <w:r>
        <w:t>Ce grief sera également écarté. 6)</w:t>
      </w:r>
    </w:p>
    <w:p>
      <w:r>
        <w:t>La recourante soutient qu'elle est victime de discrimination en relation avec son handicap physique et de sa grossesse. 7)</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8) a. Selon l'art. 2 de la loi sur l'Hospice général du 17 mars 2006 (LHG - J 4 07), l'hospice est un établissement de droit public doté de la personnalité juridique (al. 1), avec siège à Genève (al. 2).</w:t>
      </w:r>
    </w:p>
    <w:p>
      <w:r>
        <w:t>Les relations entre l'hospice et son personnel sont régies, selon l’art. 23 LHG, par la LPAC et par le règlement d’application de la LPAC du</w:t>
      </w:r>
    </w:p>
    <w:p>
      <w:r>
        <w:rPr>
          <w:b/>
        </w:rPr>
        <w:t>E. 24</w:t>
      </w:r>
    </w:p>
    <w:p>
      <w:r>
        <w:t>août 2021 consid. 6f).</w:t>
      </w:r>
    </w:p>
    <w:p>
      <w:r>
        <w:t>Dans ces circonstances, le recours sera partiellement admis. La décision du 16 juillet 2020 sera annulée en tant qu'elle nie une discrimination à l'encontre de la recourante. Elle sera confirmée pour le surplus. 9)</w:t>
      </w:r>
    </w:p>
    <w:p>
      <w:r>
        <w:t>La procédure étant gratuite en matière d’égalité entre femmes et hommes (art. 13 al. 5 LEg), aucun émolument ni aucun frais ne seront prélevé (art. 87 al. 1 LPA). Une indemnité de procédure de CHF 2'000.- sera allouée à la recourante, à la charge de l'intimé (art. 87 al. 2 LPA).</w:t>
      </w:r>
    </w:p>
    <w:p>
      <w:r>
        <w:t>Compte tenu des conclusions des recours,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