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ATA/382/2017 vom 4. April 2017</w:t>
      </w:r>
    </w:p>
    <w:p>
      <w:r>
        <w:t>GE Cour de justice, 2017-04-04, FR</w:t>
      </w:r>
    </w:p>
    <w:p>
      <w:r>
        <w:rPr>
          <w:b/>
        </w:rPr>
        <w:t xml:space="preserve">Quelle: </w:t>
      </w:r>
      <w:r>
        <w:t>https://mcp.opencaselaw.ch/entscheid/ge_gerichte_ATA_382_2017</w:t>
      </w:r>
    </w:p>
    <w:p>
      <w:r>
        <w:t>FR: GE_GERICHTE ATA/382/2017 du 4 avril 2017</w:t>
      </w:r>
    </w:p>
    <w:p>
      <w:r>
        <w:t>IT: GE_GERICHTE ATA/382/2017 del 4 aprile 2017</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rPr>
          <w:b/>
        </w:rPr>
        <w:t>E. 2</w:t>
      </w:r>
    </w:p>
    <w:p>
      <w:r>
        <w:t>A______ ayant été radiée du registre du commerce, Mme C______ ayant vendu son fonds de commerce, et la caducité de l’autorisation de vendre des boissons alcoolisées, délivrée le 27 juin 2013 ayant été prononcée par le PCTN le 28 avril 2016, se pose la question de la recevabilité du recours sous l’angle de la qualité pour recourir.</w:t>
      </w:r>
    </w:p>
    <w:p>
      <w:r>
        <w:rPr>
          <w:b/>
        </w:rPr>
        <w:t>E. 3</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(ATA/623/2016 du 19 juillet 2016 consid. 4 ; ATA/602/2016 du 12 juillet 2016 consid. 1b).</w:t>
      </w:r>
    </w:p>
    <w:p>
      <w:r>
        <w:t>b. Selon la jurisprudence, le recourant doit avoir un intérêt pratique à l'admission du recours, soit que cette admission soit propre à lui procurer un avantage, de nature économique, matérielle ou idéale (ATF 138 II 162</w:t>
      </w:r>
    </w:p>
    <w:p>
      <w:r>
        <w:t>- 5/7 - A/3596/2015 consid. 2.1.2 ; 137 II 30 consid. 2 ; 137 II 40 consid. 2.6.3 ; arrêt du Tribunal fédéral 1C_152/2012 du 21 mai 2012 consid. 2.1 ; ATA/684/2016 du 16 août 2016 consid. 2b).</w:t>
      </w:r>
    </w:p>
    <w:p>
      <w:r>
        <w:t>c. Un intérêt digne de protection suppose un intérêt actuel à obtenir l’annulation de la décision attaquée (ATF 138 II 42 consid. 1 ; 137 I 23 consid 1.3 ; 135 I 79 consid. 1 ; arrêt du Tribunal fédéral 1C_495/2014 du 23 février 2015 consid. 1.2). L’existence d’un intérêt actuel s’apprécie non seulement au moment du dépôt du recours, mais aussi lors du prononcé de la décision sur recours (ATF 137 I 296 consid. 4.2 ; 136 II 101 consid. 1.1).</w:t>
      </w:r>
    </w:p>
    <w:p>
      <w:r>
        <w:t>La condition de l’intérêt actuel fait défaut en particulier lorsque, par exemple, la décision ou la loi est révoquée ou annulée en cours d’instance (ATF 111 Ib 182 consid. 2 ; 110 Ia 140 consid. 2 ; 104 Ia 487 consid. 2 ; ATA/124/2005 du 8 mars 2005 consid. 1c), la décision attaquée a été exécutée et a sorti tous ses effets (ATF 125 I 394 consid. 4 ; 120 Ia 165 consid. 1a et les références citées),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 Pierre MOOR/Étienne POLTIER, Droit administratif, vol. 2, 3ème éd. 2011, p. 748 n. 5.7.2.3).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 du Tribunal fédéral 1C_133/2009 du 4 juin 2009 consid. 3).</w:t>
      </w:r>
    </w:p>
    <w:p>
      <w:r>
        <w:t>e. En l’espèce, l’objet du recours est une mesure de fermeture d’un commerce prise en application de l’art. 14 al. 2 de la loi sur la vente à l'emporter des boissons alcooliques du 22 janvier 2004 (LVEBA - I 2 24) qui prévoit la possibilité d’une telle fermeture pour une durée maximale de quatre mois en cas de violation de cette loi. Le commerce visé dans la décision attaquée est la SNC « A______ », laquelle est radiée du RC depuis le 22 mars 2016 suite à sa dissolution. Dès lors, en tant qu’il serait interjeté pour le compte de A______, le recours n’a plus</w:t>
      </w:r>
    </w:p>
    <w:p>
      <w:r>
        <w:t>- 6/7 - A/3596/2015 d’intérêt actuel, voire plus d’objet, puisque le commerce a cessé, et que la mesure de fermeture ne peut plus être mise en œuvre. En outre, dans la mesure où le recours aurait été interjeté par Mme C______ en tant que détentrice de l’autorisation de vendre des boissons alcoolisées délivrée le 27 juin 2013, il n’aurait plus non plus d’objet, puisque l’autorisation a été déclarée caduque le 28 avril 2016, décision aujourd’hui en force.</w:t>
      </w:r>
    </w:p>
    <w:p>
      <w:r>
        <w:t>Le recours sera déclaré irrecevable. La demande de l’autorité intimée qu’il soit tout de même statué sur le fond du litige ne peut être accueillie, en raison des règles strictes régissant les conditions de recevabilité des recours administratifs, mais aussi et surtout parce que vu l’issue de la procédure, le recours étant irrecevable, la décision attaquée est confirmée. L’autorité intimée n’a plus aucun intérêt digne de protection à ce qu’il soit statué sur le recours.</w:t>
      </w:r>
    </w:p>
    <w:p>
      <w:r>
        <w:rPr>
          <w:b/>
        </w:rPr>
        <w:t>E. 4</w:t>
      </w:r>
    </w:p>
    <w:p>
      <w:r>
        <w:t>Vu l’issue de la procédure, un émolument de CHF 250.- sera mis à la charge de la recourante, correspondant au montant versé par A______ avant sa dissolution.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