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ATA/381/2018 vom 24. April 2018</w:t>
      </w:r>
    </w:p>
    <w:p>
      <w:r>
        <w:t>GE Cour de justice, 2018-04-24, FR</w:t>
      </w:r>
    </w:p>
    <w:p>
      <w:r>
        <w:rPr>
          <w:b/>
        </w:rPr>
        <w:t xml:space="preserve">Quelle: </w:t>
      </w:r>
      <w:r>
        <w:t>https://mcp.opencaselaw.ch/entscheid/ge_gerichte_ATA_381_2018</w:t>
      </w:r>
    </w:p>
    <w:p>
      <w:r>
        <w:t>FR: GE_GERICHTE ATA/381/2018 du 24 avril 2018</w:t>
      </w:r>
    </w:p>
    <w:p>
      <w:r>
        <w:t>IT: GE_GERICHTE ATA/381/2018 del 24 aprile 2018</w:t>
      </w:r>
    </w:p>
    <w:p>
      <w:pPr>
        <w:pStyle w:val="Heading2"/>
      </w:pPr>
      <w:r>
        <w:t>Erwägungen</w:t>
      </w:r>
    </w:p>
    <w:p>
      <w:r>
        <w:rPr>
          <w:b/>
        </w:rPr>
        <w:t>E. 12</w:t>
      </w:r>
    </w:p>
    <w:p>
      <w:r>
        <w:t>septembre 1985 - LPA - E 5 10). 2)</w:t>
      </w:r>
    </w:p>
    <w:p>
      <w:r>
        <w:t>La recourante demande à la chambre de céans de se prononcer sur sa demande de révision portant sur les années fiscales 2014 à 2016, reprochant au TAPI de ne pas l’avoir fait.</w:t>
      </w:r>
    </w:p>
    <w:p>
      <w:r>
        <w:t>Or, comme l’a retenu à juste titre le TAPI, la décision par laquelle l’AFC a rejeté la demande de révision de l’année fiscale 2016 ne peut être directement soumise aux instances judiciaires. Les art. 39 al. 1 de la loi de procédure fiscale du 4 octobre 2001 (LPFisc - D 3 17) et 132 al. 1 de la loi fédérale sur l’impôt fédéral direct du 14 décembre 1990 (LIFD - RS 642.11) prévoient, en effet, que la voie de droit contre une telle décision est la procédure de réclamation. En application de l’art. 11 LPA, le TAPI a ainsi transmis le recours à l’AFC afin qu’elle le traite comme une réclamation.</w:t>
      </w:r>
    </w:p>
    <w:p>
      <w:r>
        <w:t>Le jugement doit donc être confirmé sur ce point. 3)</w:t>
      </w:r>
    </w:p>
    <w:p>
      <w:r>
        <w:t>Dans son second grief, la recourante reproche à l’AFC de ne pas tenir compte des pièces qu’elle a produites et, ainsi, de commettre un déni de justice à son encontre.</w:t>
      </w:r>
    </w:p>
    <w:p>
      <w:r>
        <w:t>a.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 Cst. - RS 101; ATF 135 I 6 consid. 2.1 ; 134 I 6 consid. 2.3).</w:t>
      </w:r>
    </w:p>
    <w:p>
      <w:r>
        <w:t>Le justiciable qui s’estime victime d’un déni de justice doit mettre en demeure l’autorité en cause de statuer. Si celle-ci ne se prononce pas ou tarde à se prononcer, son silence est assimilé à une décision (art. 4 al. 4 LPA). L’administré peut recourir en tout temps pour déni de justice ou retard non justifié si l’autorité concernée ne donne pas suite rapidement à la mise en demeure prévue à l’art. 4 al. 4 LPA (art. 62 al. 6 LPA).</w:t>
      </w:r>
    </w:p>
    <w:p>
      <w:r>
        <w:t>b. En l’espèce, il convient, en premier lieu, de relever qu’aucun élément ne permet de retenir que l’administration fiscale refuserait de statuer sur les réclamations et demandes de révision formées par la recourante. Il ressort, en effet, du dossier que les réclamations et demandes en révision sont régulièrement traitées par l’intimée. Il est également précisé que le fait qu’une demande soit</w:t>
      </w:r>
    </w:p>
    <w:p>
      <w:r>
        <w:t>- 4/5 - A/787/2018 déclarée irrecevable – et qu’ainsi les arguments développés au fond ne sont pas examinés – ne constitue pas un déni de justice. Celui-ci n’est réalisé, comme exposé ci-dessus, que lorsque l’autorité ne statue pas sur une demande ou tarde à statuer sur celle-ci.</w:t>
      </w:r>
    </w:p>
    <w:p>
      <w:r>
        <w:t>Au surplus, si la recourante devait estimer que l’intimée tarderait à statuer sur une de ses demandes, il lui appartiendrait de mettre celle-ci en demeure avant de pouvoir, le cas échéant, se plaindre d’un déni de justice devant le TAPI.</w:t>
      </w:r>
    </w:p>
    <w:p>
      <w:r>
        <w:t>Manifestement mal fondé, le recours sera rejeté, sans autre acte d’instruction (art. 72 LPA). 4)</w:t>
      </w:r>
    </w:p>
    <w:p>
      <w:r>
        <w:t>Malgré l’issue du litige, il ne sera pas mis d’émolument à la charge de la recourante (art. 87 al. 1 LPA) et aucune indemnité de procédure ne sera octroyée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