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ATA/381/2016 vom 3. Mai 2016</w:t>
      </w:r>
    </w:p>
    <w:p>
      <w:r>
        <w:t>GE Cour de justice, 2016-05-03, FR</w:t>
      </w:r>
    </w:p>
    <w:p>
      <w:r>
        <w:rPr>
          <w:b/>
        </w:rPr>
        <w:t xml:space="preserve">Quelle: </w:t>
      </w:r>
      <w:r>
        <w:t>https://mcp.opencaselaw.ch/entscheid/ge_gerichte_ATA_381_2016</w:t>
      </w:r>
    </w:p>
    <w:p>
      <w:r>
        <w:t>FR: GE_GERICHTE ATA/381/2016 du 3 mai 2016</w:t>
      </w:r>
    </w:p>
    <w:p>
      <w:r>
        <w:t>IT: GE_GERICHTE ATA/381/2016 del 3 maggio 2016</w:t>
      </w:r>
    </w:p>
    <w:p>
      <w:pPr>
        <w:pStyle w:val="Heading2"/>
      </w:pPr>
      <w:r>
        <w:t>Erwägungen</w:t>
      </w:r>
    </w:p>
    <w:p>
      <w:r>
        <w:rPr>
          <w:b/>
        </w:rPr>
        <w:t>E. 1</w:t>
      </w:r>
    </w:p>
    <w:p>
      <w:r>
        <w:t>Une décision incidente (art. 4 al. 2 de la loi sur la procédure administrative du 12 septembre 1985 - LPA - E 5 10) est une décision prise pendant le cours d’une procédure, qui ne représente qu’une étape vers la décision finale (arrêts du Tribunal fédéral 8C_686/2011 du 2 mai 2012 consid. 4.1 ; 1C_40/2012 du 14 février 2012 consid. 2.3 ; ATA/1149/2015 du 27 octobre 2015 consid. 2a).</w:t>
      </w:r>
    </w:p>
    <w:p>
      <w:r>
        <w:t>Selon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Le préjudice irréparable suppose que le recourant ait un intérêt – actuel (ATF 135 I 79 consid. 1) –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2011, n. 1265 ; Bernard CORBOZ, Le recours immédiat contre une décision incidente, in SJ 1991, p. 628).</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w:t>
      </w:r>
    </w:p>
    <w:p>
      <w:r>
        <w:t>- 5/7 - A/243/2016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ATA/1281/2015 du 1er décembre 2015 consid. 3b ; ATA/175/2007 du 17 avril 2007 consid. 2a ; ATA/915/2004 du 23 novembre 2004 consid. 2b) ou déclaré irrecevable (ATF 123 II 285 consid. 4 ; arrêt du Tribunal fédéral 1C_69/2007 du 11 juin 2007 consid. 2.3 ; ATA/1281/2015 précité consid. 3b ; ATA/192/2009 du 21 avril 2009 ; ATA/640/2005 du 27 septembre 2005).</w:t>
      </w:r>
    </w:p>
    <w:p>
      <w:r>
        <w:rPr>
          <w:b/>
        </w:rPr>
        <w:t>E. 2</w:t>
      </w:r>
    </w:p>
    <w:p>
      <w:r>
        <w:t>La question de savoir si la lettre de l’intimée du 12 janvier 2016 constituait une décision sujette à recours peut demeurer indécise, étant au demeurant relevé qu’elle n’était pas précédée par une demande formelle du recourant sollicitant la reconsidération de la décision de suspension du 5 novembre 2014, laquelle emportait, conformément à l’art. 98 al. 2 du statut du personnel, interdiction de se rendre sur le lieu de travail.</w:t>
      </w:r>
    </w:p>
    <w:p>
      <w:r>
        <w:t>La condition du préjudice irréparable au sens développé ci-dessus suppose qu’une décision finale n’ait pas été rendue. Si une telle décision est prononcée, le recours contre la décision incidente devient en principe sans objet (dans ce sens, à tout le moins par analogie, arrêt du Tribunal fédéral 1C_588/2012 du 17 janvier 2013).</w:t>
      </w:r>
    </w:p>
    <w:p>
      <w:r>
        <w:t>En l’espèce, l’absence d’objet du recours s’impose d’autant plus que la décision de licenciement du 4 avril 2016 est déclarée exécutoire nonobstant recours et est accompagnée de la libération de l’obligation de travailler de l’intéressé jusqu’au terme de son délai de congé, confirmant ainsi expressément la cessation des effets de la décision incidente de suspension du 5 novembre 2014.</w:t>
      </w:r>
    </w:p>
    <w:p>
      <w:r>
        <w:t>Enfin, le recourant ne fait valoir aucune exception qui pourrait justifier la renonciation à l’exigence de l’intérêt actuel.</w:t>
      </w:r>
    </w:p>
    <w:p>
      <w:r>
        <w:rPr>
          <w:b/>
        </w:rPr>
        <w:t>E. 3</w:t>
      </w:r>
    </w:p>
    <w:p>
      <w:r>
        <w:t>Vu ce qui précède, le recours est devenu sans objet et sera donc déclaré irrecevable.</w:t>
      </w:r>
    </w:p>
    <w:p>
      <w:r>
        <w:t>Vu l’issue du litige, un émolument de CHF 1’000.- sera mis à la charge du recourant, qui succombe (art. 87 al. 1 LPA), et aucune indemnité de procédure ne lui sera allouée (art. 87 al. 2 LPA).</w:t>
      </w:r>
    </w:p>
    <w:p>
      <w:r>
        <w:t>- 6/7 - A/243/2016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