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ATA/37/2017 vom 17. Januar 2017</w:t>
      </w:r>
    </w:p>
    <w:p>
      <w:r>
        <w:t>GE Cour de justice, 2017-01-17, FR</w:t>
      </w:r>
    </w:p>
    <w:p>
      <w:r>
        <w:rPr>
          <w:b/>
        </w:rPr>
        <w:t xml:space="preserve">Quelle: </w:t>
      </w:r>
      <w:r>
        <w:t>https://mcp.opencaselaw.ch/entscheid/ge_gerichte_ATA_37_2017</w:t>
      </w:r>
    </w:p>
    <w:p>
      <w:r>
        <w:t>FR: GE_GERICHTE ATA/37/2017 du 17 janvier 2017</w:t>
      </w:r>
    </w:p>
    <w:p>
      <w:r>
        <w:t>IT: GE_GERICHTE ATA/37/2017 del 17 gennaio 2017</w:t>
      </w:r>
    </w:p>
    <w:p>
      <w:pPr>
        <w:pStyle w:val="Heading2"/>
      </w:pPr>
      <w:r>
        <w:t>Regeste</w:t>
      </w:r>
    </w:p>
    <w:p>
      <w:r>
        <w:t>Résumé: Changement de pratique du DALE en raison de tentatives de fraudes à la loi. Selon l'ancienne pratique, il n'y avait pas d'« aliénation » au sens de l'art. 39 al. 1 LDTR dans le cas d'opérations visant à liquider des sociétés immobilières d'actionnaires-locataires (SIAL) et à transformer les cessionnaires détenteurs de certificats d'actions en propriétaires d'unités d'étages. En l'espèce, des opérations successives, se terminant par la liquidation d'une SIAL récemment créé ont été mises sur pied afin de pouvoir artificiellement bénéficier de cette pratique. Il y a eu tentatives de fraude à la loi. Ne s'agissant pas d'un cas isolé, il existe des motifs sérieux et objectifs justifiant le changement de pratique, conforme au droit. Vu l'existence d'aliénations, les transferts de lots de PPE étaient soumis à autorisation selon l'art. 39 LDTR. Refus de délivrance des autorisations d'aliéner conformes au droit. Recours rejeté.</w:t>
      </w:r>
    </w:p>
    <w:p>
      <w:pPr>
        <w:pStyle w:val="Heading2"/>
      </w:pPr>
      <w:r>
        <w:t>Erwägungen</w:t>
      </w:r>
    </w:p>
    <w:p>
      <w:r>
        <w:rPr>
          <w:b/>
        </w:rPr>
        <w:t>E. 26</w:t>
      </w:r>
    </w:p>
    <w:p>
      <w:r>
        <w:t>septembre 2010 - LOJ - E 2 05 ; art. 62 al. 1 let. a de la loi sur la procédure administrative du 12 septembre 1985 - LPA - E 5 10). 2)</w:t>
      </w:r>
    </w:p>
    <w:p>
      <w:r>
        <w:t>Le recours porte sur la conformité au droit du jugement du TAPI confirmant les vingt-sept arrêtés du DALE prononçant implicitement la soumission des actes de transfert à autorisation d’aliéner et refusant la délivrance desdites autorisations. 3)</w:t>
      </w:r>
    </w:p>
    <w:p>
      <w:r>
        <w:t>Les recourants reprochent au TAPI et au DALE d’avoir retenu que les actes de transfert étaient soumis à autorisation.</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2015, 2016 et 2017, qu'il y a pénurie, au sens des art. 25 et 39 LDTR, dans toutes les catégories des appartements d'une à sept pièces inclusivement (arrêtés du Conseil d'État déterminant les catégories de logements où sévit la pénurie en vue de l'application des art. 25 à 39 LDTR du 15 janvier 2015, 13 janvier 2016 et 13 janvier 2017 - ArAppart - L 5 20.03).</w:t>
      </w:r>
    </w:p>
    <w:p>
      <w:r>
        <w:t>- 13/23 - A/3194/2015</w:t>
      </w:r>
    </w:p>
    <w:p>
      <w:r>
        <w:t>d. Selon la jurisprudence de la chambre administrative, la vente d'un appartement est soumise à autorisation pour autant que ce dernier entre, du fait de son loyer ou de son type, dans une catégorie de logements où sévit la pénurie (ATA/701/2016 du 23 août 2016 consid. 3d ; ATA/356/2012 du 5 juin 2012 consid. 8d et 10 ; ATA/826/2001 du 11 décembre 2001 consid. 3b).</w:t>
      </w:r>
    </w:p>
    <w:p>
      <w:r>
        <w:t>e. En l’espèce, il n’est pas contesté que les appartements concernés par les actes de transfert – situés dans un immeuble d'habitation en troisième zone de construction et donc assujettis à la LDTR (art. 2 LDTR) – entrent, par leur nombre de pièces, dans des catégories de logements où sévit la pénurie et ont été offerts à la location, de sorte que leur aliénation est en principe soumise à autorisation. 4)</w:t>
      </w:r>
    </w:p>
    <w:p>
      <w:r>
        <w:t>Les recourants font cependant grief au TAPI de n’avoir pris en compte ni la pratique de l’autorité intimée, ni l’absence d’aliénation – s’agissant de transferts de la propriété juridique aux propriétaires économiques –, éléments qui auraient tous deux dû conduire l’instance précédente à retenir que les actes de transfert n’étaient pas soumis à autorisation.</w:t>
      </w:r>
    </w:p>
    <w:p>
      <w:r>
        <w:t>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 ATA/20/2015 du 6 janvier 2015 consid. 9).</w:t>
      </w:r>
    </w:p>
    <w:p>
      <w:r>
        <w:t>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du 9 juin 2015 consid. 7d ; ATA/857/2014 du 4 novembre 2014 consid. 4).</w:t>
      </w:r>
    </w:p>
    <w:p>
      <w:r>
        <w:t>Par ailleurs,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(ATA/834/2016 du 4 octobre 2016 consid. 3a ; ATA/240/2013 du 16 avril 2013</w:t>
      </w:r>
    </w:p>
    <w:p>
      <w:r>
        <w:t>- 14/23 - A/3194/2015 consid. 2a ; Thierry TANQUEREL, Manuel de droit administratif, 2011, p. 204 n. 603 et les arrêts cités)</w:t>
      </w:r>
    </w:p>
    <w:p>
      <w:r>
        <w:t>b. Il y a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arrêt du Tribunal fédéral 2C_751/2014 du 23 février 2015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II 233 consid. 5.1). Il convient d'examiner si la norme éludée entend uniquement prohiber une certaine manière de procéder, ou si elle veut interdire un résultat en soi. Dans cette seconde hypothèse, la norme éludée doit être appliquée nonobstant la construction destinée à la contourner (arrêts du Tribunal fédéral 2C_751/2014 précité consid. 4.1 ; 4A_609/2012 du 26 février 2013 consid. 3).</w:t>
      </w:r>
    </w:p>
    <w:p>
      <w:r>
        <w:t>La fraude à la loi est une forme particulière de l’abus de droit, dont l’interdiction se déduit du principe de la bonne foi (arrêt du Tribunal fédéral 2C_751/2014 précité consid. 4.1 ; ATA/487/2014 du 24 juin 2014 consid. 3). Un abus de droit doit, pour être sanctionné, apparaître manifeste (arrêts du Tribunal fédéral 2C_751/2014 précité consid. 4.1 ;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(ATF 139 III 145 consid. 4.2.4 et la jurisprudence citée ; arrêts du Tribunal fédéral 2C_751/2014 précité consid. 4.1).</w:t>
      </w:r>
    </w:p>
    <w:p>
      <w:r>
        <w:t>c. Le RF donne l'état des droits sur les immeubles (art. 942 al. 1 du code civil suisse du 10 décembre 1907 - CC - RS 210). L'inscription à ce registre est nécessaire pour l'acquisition de la propriété foncière (art. 656 al. 1 CC). Le RF n'opère d'inscription au registre que sur réquisition (art. 46 al. 1 de l'ordonnance sur le RF du 23 septembre 2011 - ORF - RS 211.432.1). En cas de vente, cette réquisition est déposée par le vendeur (art. 83 al. 2 let. c et 84 al. 1 ORF) ou par le notaire qui a reçu les actes (art. 963 al. 3 CC et 158 al. 1 1 de la loi d'application du CC et d’autres lois fédérales en matière civile du 28 novembre 2010 - LaCC - E 1 05). Lorsqu’une telle réquisition d’inscription parvient au RF, elle est portée au journal (art. 81 al. 1 let. a ORF). Lors de son traitement, le RF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RF rejette la requête (art. 87 al. 1 ORF). Le rejet de la</w:t>
      </w:r>
    </w:p>
    <w:p>
      <w:r>
        <w:t>- 15/23 - A/3194/2015 réquisition fait l’objet d’une décision formelle motivée, qui est notifiée aux intéressés (art. 87 al. 3 ORF).</w:t>
      </w:r>
    </w:p>
    <w:p>
      <w:r>
        <w:t>d. Selon l'art. 12 al. 1 RDTR, c'est le vendeur qui a l’obligation de solliciter auprès du DALE l’autorisation d’aliéner, cas échéant représenté par son notaire. Les agents immobiliers, les notaires ou autres mandataires professionnels, dont le concours est sollicité en vue de la passation d’un acte de vente d’un appartement jusqu’alors offert en location, ont l’obligation de s’assurer préalablement de la délivrance par le DALE de ladite autorisation (art. 16 RDTR). Le conservateur du RF écarte toute réquisition d’inscription d’une aliénation d’une part de copropriété par étages portant sur un appartement qui n’est pas assortie d’une autorisation du DALE au sens de l’art. 39 LDTR lorsque celle-ci est nécessaire (art. 17 al. 2 RDTR). 5)</w:t>
      </w:r>
    </w:p>
    <w:p>
      <w:r>
        <w:t>Dans la cause A/115/2013, dans laquelle l’AH______ (ci-après : AH______) alléguait une fraude à la loi en relation avec la pratique de l’autorité intimée quant à la liquidation d’une SIAL avec transfert des lots de PPE aux actionnaires-locataires, le DALE avait rappelé que la SIAL était une forme de société immobilière qui, à l’instar des coopératives de locataires, s’était constituée à une époque où la PPE n’était pas admise en droit suisse pour mettre des logements à disposition de leurs membres (ATA/947/2014 du 2 décembre 2014 consid. 12 en fait ; Guy FLATTET, Les sociétés immobilières d’actionnaires- locataires, JdT 1949 I 610 ; Peter FORSTMOSER/Arthur MEIER-HAYOZ, Einführung in das schweizerische Aktienrecht, 3ème éd., 1983, n. 45 p. 314). Cette forme de société s’était développée, spécialement en Suisse romande, après la deuxième guerre mondiale et jusqu’en 1965, date de l’introduction dans le CC du régime de la PPE. Postérieurement à cette date, nombre d’immeubles avaient encore été construits et exploités sous cette forme. Le DALE avait dans le cas d’espèce indiqué avoir la volonté de maintenir sa pratique, la société en cause ayant été constituée sous forme de SIAL sous l’ancien droit (ATA/947/2014 précité consid. 12 en fait). La chambre administrative avait dans ce cas renvoyé la cause au DALE pour qu’il examine l’applicabilité de l’art. 39 LDTR et constate s’il existait ou non une fraude à la loi (ATA/947/2014 précité consid. 17). Elle avait par ailleurs fait de même dans un deuxième arrêt du même jour, affaire dans le cadre de laquelle le DALE n’avait cependant pas formulé d’observations (ATA/948/2014 du 2 décembre 2014 consid. 17). 6)</w:t>
      </w:r>
    </w:p>
    <w:p>
      <w:r>
        <w:t>En l’espèce, la pratique instaurée depuis 1995 et dont la suspension a été annoncée en avril 2014 n’est pas contestée par l’autorité intimée. La chambre administrative a au demeurant déjà été amenée à constater l’existence de ladite pratique dans une cause à laquelle la A______ était partie (ATA/817/2014 précité consid. 16). Comme la chambre de céans l’avait alors retenu, la pratique en cause consistait à considérer qu’il n'y avait pas d' « aliénation » au sens de l'art. 39 al. 1 LDTR dans le cas d'opérations visant à liquider des SIAL et à transformer les</w:t>
      </w:r>
    </w:p>
    <w:p>
      <w:r>
        <w:t>- 16/23 - A/3194/2015 cessionnaires détenteurs de certificats d'actions en propriétaires d'unités d'étages. L'idée qui sous-tendait cette pratique était que les immeubles concernés restaient dans ce cas en mains des mêmes détenteurs économiques, les détenteurs des certificats d'action devenant simplement « propriétaires en nom » des biens immobiliers. Il ne s’agissait ainsi pas d’une vente d’appartement impliquant un changement de propriétaire mais d’un simple changement de régime juridique, non soumis à autorisation (ATA/817/2014 précité consid. 16).</w:t>
      </w:r>
    </w:p>
    <w:p>
      <w:r>
        <w:t>Or, si par la note du 9 avril 2014, le DALE a simplement suspendu sa pratique en raison d’un doute quant à l’existence de fraudes à la loi et ainsi annoncé l’exercice d’un contrôle par la présidence du département – intervenant en sa qualité d'autorité hiérarchique supérieure du RF et de la DAC et d'autorité de surveillance du RF –, afin de vérifier que cette pratique n'était pas détournée à des fins autres que celles poursuivies par la loi (ATA/817/2014 précité consid. 18), les arrêtés rendus suite à ce contrôle ont consacré un changement de pratique, puisqu’il n’est désormais plus automatiquement retenu l’absence de l’aliénation au sens de l’art. 39 al. 1 LDTR dans les cas de liquidation d’une SIAL avec transformation des cessionnaires détenteurs de certificats d'actions en propriétaires d'unités d'étages.</w:t>
      </w:r>
    </w:p>
    <w:p>
      <w:r>
        <w:t>Ainsi, le changement de pratique réside dans le fait que désormais, même dans le cas de figure visé par l’ancienne pratique de l’autorité intimée – soit de liquidation d’une SIAL avec transfert des unités d’étages aux actionnaires- locataires –, le dossier doit être soumis au DALE pour examen de l’assujettissement ou non à autorisation d’aliéner et, cas échéant, des conditions de délivrance d’une telle autorisation, préalablement à toute réquisition au RF. 7)</w:t>
      </w:r>
    </w:p>
    <w:p>
      <w:r>
        <w:t>Il convient dès lors d’examiner si ce changement de pratique est conforme au droit.</w:t>
      </w:r>
    </w:p>
    <w:p>
      <w:r>
        <w:t>L’autorité intimée est revenue sur sa pratique en raison d’un changement des circonstances extérieures, soit l’existence de cas nouveaux, dans lesquels, par la succession de diverses opérations, se terminant par la liquidation d’une SIAL de création récente – postérieure à l’adoption des dispositions de la PPE – avec transfert de la propriété d’unités d’étages aux cessionnaires détenteurs de certificats d'actions, des sociétés tentaient artificiellement d’obtenir l’application de la pratique de l’autorité intimée, ceci afin d’éluder l’art. 39 LDTR et d’aliéner des appartements sans avoir jamais sollicité d’autorisation en ce sens. L’autorité intimée a ainsi changé sa pratique en raison de cas de fraudes à la loi.</w:t>
      </w:r>
    </w:p>
    <w:p>
      <w:r>
        <w:t>Or, ces circonstances nouvelles de tentatives de fraudes à la loi sont avérées, le cas d’espèce lui-même les illustrant.</w:t>
      </w:r>
    </w:p>
    <w:p>
      <w:r>
        <w:t>En effet, dans le courant du printemps et du début de l’été 2012, M. AD______, en sa qualité d’actionnaire de la A______ – alors déjà propriétaire</w:t>
      </w:r>
    </w:p>
    <w:p>
      <w:r>
        <w:t>- 17/23 - A/3194/2015 de l’immeuble – mais revêtant également le rôle d’administrateur unique de la A______, a vendu ses actions à différents cessionnaires, dont certains ont à leur tour effectué des cessions d’actions. Après cette série de cessions, toujours en été 2012, soit le 19 juillet 2012, les statuts de la A______ ont été modifiés pour qu’elle devienne une SIAL, chacun des actionnaires ayant désormais un droit de location des appartements correspondant à leurs certificats d’actions, conformément au tableau de concordance. À peine plus d’un mois après la transformation en SIAL, soit à la fin du mois d’août 2012, l’immeuble a été soumis au régime de la PPE, prémisse des actes de transferts ensuite conclus, en février et mars 2014, afin de transférer les lots de PPE aux actionnaires en fonction des certificats d’actions qu’ils détenaient, ceci en comptant sur le fait que ces transferts ne seraient pas soumis à autorisation d’aliéner, comme l’indique clairement la disposition concernant la LDTR contenue dans chaque acte de transfert.</w:t>
      </w:r>
    </w:p>
    <w:p>
      <w:r>
        <w:t>Au cours de ces différentes étapes, à suivre l’argumentation des recourants, aucune autorisation d’aliéner n’aurait jamais dû être sollicitée. Cette succession d’opérations visait pourtant clairement à aboutir à des aliénations au sens de l’art. 39 LDTR, puisqu’elle tendait à obtenir au final le transfert de la propriété de chacun des appartements en cause de la A______ aux acquéreurs et à les faire inscrire au RF en tant que propriétés individualisées.</w:t>
      </w:r>
    </w:p>
    <w:p>
      <w:r>
        <w:t>Ainsi, dans de tels cas, l’application de la pratique de l’autorité intimée serait allée à l’encontre de la loi, puisqu’elle aurait abouti à la finalisation des transferts sans examen de l’art. 39 LDTR, malgré la survenance d’aliénations au sens de cet article de par la globalité des différentes opérations.</w:t>
      </w:r>
    </w:p>
    <w:p>
      <w:r>
        <w:t>Il apparaît ainsi évident que ces opérations successives – céder les actions d’une société propriétaire d’un immeuble à différents cessionnaires, pour immédiatement la transformer en SIAL et ensuite soumettre l’immeuble en cause au régime de la PPE, ceci pour finalement liquider la SIAL nouvellement créée et transférer aux actionnaires-locataires les lots de PPE correspondant à leur certificats d’actions – ont été mises sur pied afin de pouvoir artificiellement bénéficier de la pratique de l’autorité intimée et ainsi se soustraire à l’art. 39 LDTR.</w:t>
      </w:r>
    </w:p>
    <w:p>
      <w:r>
        <w:t>Au vu de ce qui précède et de l’ensemble des circonstances du cas d’espèce, le TAPI a, à juste titre, constaté qu’il y avait eu tentatives de fraudes à la loi, visant l’aliénation d’appartements en se soustrayant à l’examen requis par l’art. 39 LDTR.</w:t>
      </w:r>
    </w:p>
    <w:p>
      <w:r>
        <w:t>Or, les tentatives de fraudes à la loi du cas d’espèce ne sont pas des cas isolés, comme le démontrent les causes A/3233/2015 et A/3314/2015, similaires – toutes concernent des sociétés dont M. AD______ est administrateur président, comportent une proximité temporelle, les réquisitions au RF ayant été opérées</w:t>
      </w:r>
    </w:p>
    <w:p>
      <w:r>
        <w:t>- 18/23 - A/3194/2015 dans les trois cas en février et mars 2014, et s’illustrent par des opérations successives visant à aboutir à la liquidation d’une SIAL avec transferts des lots de PPE aux actionnaires-locataires –, de sorte qu’il existait une nécessité pour l’autorité intimée de changer sa pratique, afin de s’assurer que l’art. 39 LDTR ne puisse être éludé par la mise sur pied et la liquidation d’une SIAL pour masquer des aliénations de parts de PPE correspondant à des appartements.</w:t>
      </w:r>
    </w:p>
    <w:p>
      <w:r>
        <w:t>Par ailleurs, si la pratique en cause est certes ancienne, la nécessité d’éviter des fraudes à la loi constitue en tout état de cause un motif objectif particulièrement sérieux justifiant son changement et l’on ne saurait reprocher au DALE de l’avoir abandonnée pour s’assurer que l’art. 39 LDTR ne soit pas contourné.</w:t>
      </w:r>
    </w:p>
    <w:p>
      <w:r>
        <w:t>Dans ces circonstances, le changement de pratique repose sur des motifs sérieux et objectifs et n’est pas contraire au principe de la bonne foi.</w:t>
      </w:r>
    </w:p>
    <w:p>
      <w:r>
        <w:t>Au surplus, si les recourants se plaignent d’une violation du principe de non-rétroactivité du fait de l’application du changement de pratique alors que les actes de transfert avaient déjà été conclus et les réquisitions d’inscription au RF déposées et portées au journal, il convient au contraire de constater que l’autorité intimée se devait, vu le principe de l’égalité de traitement, d’appliquer ledit changement immédiatement, y compris aux affaires pendantes au moment où il est intervenu, ce qui était le cas en l’espèce, puisqu’aucun transfert n’avait encore été inscrit au grand livre.</w:t>
      </w:r>
    </w:p>
    <w:p>
      <w:r>
        <w:t>Par conséquent, le changement de pratique, justifié par des tentatives de fraudes à la loi, est conforme au droit et l’instance précédente a, à bon droit, constaté que le transfert des lots de PPE aux acquéreurs constituait la dernière étape d’aliénations et était de ce fait soumis à autorisation.</w:t>
      </w:r>
    </w:p>
    <w:p>
      <w:r>
        <w:t>Les griefs des recourants relatifs à l’absence de fraude à la loi, à l’absence d’aliénation, à l’illégalité du changement de pratique, ainsi qu’à la violation des principes de l’interdiction de la rétroactivité et de la bonne foi en relation avec ledit changement de pratique seront écartés. 8)</w:t>
      </w:r>
    </w:p>
    <w:p>
      <w:r>
        <w:t>Il convient à présent d’examiner si les conditions de délivrance des autorisations d’aliéner étaient réalisées.</w:t>
      </w:r>
    </w:p>
    <w:p>
      <w:r>
        <w:t>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w:t>
      </w:r>
    </w:p>
    <w:p>
      <w:r>
        <w:t>- 19/23 - A/3194/2015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(art. 39 al. 4 LDTR).</w:t>
      </w:r>
    </w:p>
    <w:p>
      <w:r>
        <w:t>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(ATA/1069/2016 du 20 décembre 2016 consid. 4a et les références citées).</w:t>
      </w:r>
    </w:p>
    <w:p>
      <w:r>
        <w:t>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w:t>
      </w:r>
    </w:p>
    <w:p>
      <w:r>
        <w:t>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w:t>
      </w:r>
    </w:p>
    <w:p>
      <w:r>
        <w:t>- 20/23 - A/3194/2015 consid. 7b/aa; arrêt du Tribunal fédéral 1P.19/2003 du 8 avril 2003 consid. 2.1 ; ATA/593/2016 du 12 juillet 2016 consid. 13).</w:t>
      </w:r>
    </w:p>
    <w:p>
      <w:r>
        <w:t>c. En l’espèce, aucun des cas de délivrance des autorisations d’aliéner selon l’art. 39 al. 4 LDTR n’est réalisé, de sorte qu’il convient de procéder à une pesée des intérêts conformément à l’art. 39 al. 2 LDTR. Les intérêts qui s'opposent sont, d'une part, les intérêts privés de la A______ à transférer la propriété des appartements en cause aux acquéreurs et ceux de ces derniers à les acquérir ainsi que, d'autre part, l'intérêt public à la protection du parc locatif genevois.</w:t>
      </w:r>
    </w:p>
    <w:p>
      <w:r>
        <w:t>Or, comme l’ont constaté l’instance précédente et l’autorité intimée, les intérêts privés en cause apparaissent purement commerciaux et de convenance personnelle et ne sauraient l’emporter sur l’intérêt public à la protection du parc locatif genevois, auquel l’individualisation des appartements concernés se heurterait.</w:t>
      </w:r>
    </w:p>
    <w:p>
      <w:r>
        <w:t>Les recourants ne remettent au demeurant aucunement en cause la pesée des intérêts effectuée par le TAPI. Certes, en relation avec des griefs relatifs aux principes de la bonne foi et de la primauté du droit fédéral, ils invoquent les frais générés et les engagements pris en relation avec les actes de transfert, ainsi que les problèmes posés pour la liquidation de la SIAL en cas de confirmation des arrêtés litigieux. Toutefois, ces éléments, même avérés, ne suffiraient pas à faire primer leurs intérêts privés, s’agissant uniquement des conséquences des opérations artificielles sciemment mises sur pied afin de réaliser des fraudes à la loi et de procéder à des aliénations en éludant l’art. 39 LDTR. Les recourants n’invoquent au surplus pas d’autre fait particulier en relation avec leurs intérêts privés respectifs.</w:t>
      </w:r>
    </w:p>
    <w:p>
      <w:r>
        <w:t>Par conséquent, rien n’indique que le TAPI ait abusé de son pouvoir d’appréciation en retenant que l’intérêt public à la protection du parc locatif genevois était prépondérant et il a, à bon droit, confirmé que les conditions de délivrance des autorisations d’aliéner n’étaient pas réalisées. 9)</w:t>
      </w:r>
    </w:p>
    <w:p>
      <w:r>
        <w:t>Comme déjà mentionné, les recourants affirment toutefois que les autorisations d’aliéner auraient en tout état de cause dû être délivrées en application du principe de primauté du droit fédéral, le refus opposé par l’autorité intimée faisant obstacle à la liquidation de la SIAL, régie par les art. 736 ss de la loi fédérale complétant le CC (livre cinquième : droit des obligations) du 30 mars 1911 (code des obligations - CO - RS 220).</w:t>
      </w:r>
    </w:p>
    <w:p>
      <w:r>
        <w:t>a. Le principe de la primauté du droit fédéral découlant de l’art. 49 Cst.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w:t>
      </w:r>
    </w:p>
    <w:p>
      <w:r>
        <w:t>- 21/23 - A/3194/2015 consid. 2c ; 117 Ia 328 consid. 2b ; ATA/1345/2015 du 15 décembre 2015 consid. 6a).</w:t>
      </w:r>
    </w:p>
    <w:p>
      <w:r>
        <w:t>b. La réglementation mise en place par la LDTR est en soi conforme au droit fédéral et à la garantie de la propriété (ATF 116 Ia 401 consid. 9 p. 414 ; arrêt du Tribunal fédéral 1C_617/2012 du 3 mai 2013 consid. 2.3).</w:t>
      </w:r>
    </w:p>
    <w:p>
      <w:r>
        <w:t>c. En l’espèce, les recourants n’ont pas développé leur grief malgré la constatation du TAPI de sa motivation insuffisante, et l’on ne discerne pas en quoi les refus de délivrance des autorisations sollicitées empêcheraient toute liquidation de la A______ en tant que société anonyme et se heurteraient au principe de la primauté du droit fédéral.</w:t>
      </w:r>
    </w:p>
    <w:p>
      <w:r>
        <w:t>Au vu de ce qui précède, le grief, mal fondé, sera écarté et l’autorité intimée a, à juste titre, refusé de délivrer les vingt-sept autorisations d’aliéner à la A______. 10) Les recourants affirment que l’autorité intimée ne pouvait pas mettre à leur charge un émolument de CHF 330.- par arrêté.</w:t>
      </w:r>
    </w:p>
    <w:p>
      <w:r>
        <w:t>a. Le DALE perçoit un émolument de CHF 220.- à CHF 1'100.- pour toute décision rendue en application de l'art. 39 LDTR (art. 18 RDTR).</w:t>
      </w:r>
    </w:p>
    <w:p>
      <w:r>
        <w:t>b. En l’espèce, dans la mesure où les arrêtés de l’autorité intimée, conformes au droit, sont fondés sur l’art. 39 LDTR, c’est à juste titre qu’elle a fixé un émolument pour chaque décision ainsi prononcée.</w:t>
      </w:r>
    </w:p>
    <w:p>
      <w:r>
        <w:t>Si les recourants affirment que le montant de CHF 330.- par arrêté constituerait un émolument excessif, au regard du fait qu’il existe septante causes parallèles ayant abouti à des arrêtés similaires – en prenant en compte également les arrêtés dans les causes A/3233/2015 et A/3314/2015 –, il n’en demeure pas moins que, comme l’a constaté l’instance précédente, l’autorité intimée a dû, pour chaque demande d’autorisation, enregistrer la requête, ouvrir un dossier, l’instruire – en particulier en examinant les pièces propres à ce dossier –, et prononcer à chaque fois un arrêté distinct. L’émolument fixé se situant dans la fourchette inférieure des montants fixés par l’art. 18 RDTR, il n’apparaît pas excessif au vu du travail qui a ainsi dû être fourni.</w:t>
      </w:r>
    </w:p>
    <w:p>
      <w:r>
        <w:t>L’autorité intimée n’a dès lors pas abusé de son pouvoir d’appréciation en fixant l’émolument à CHF 330.- par arrêté et le grief sera écarté. 11) Dans ces circonstances, les vingt-sept arrêtés rendus par l’autorité intimée sont conformes au droit et le recours contre le jugement du TAPI, entièrement mal fondé, sera rejeté.</w:t>
      </w:r>
    </w:p>
    <w:p>
      <w:r>
        <w:t>- 22/23 - A/3194/2015 12) Vu l’issue du litige, un émolument de CHF 2'000.- sera mis à la charge des recourants, pris conjointement et solidairement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