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ATA/379/2023 vom 18. April 2023</w:t>
      </w:r>
    </w:p>
    <w:p>
      <w:r>
        <w:t>GE Cour de justice, 2023-04-18, FR</w:t>
      </w:r>
    </w:p>
    <w:p>
      <w:r>
        <w:rPr>
          <w:b/>
        </w:rPr>
        <w:t xml:space="preserve">Quelle: </w:t>
      </w:r>
      <w:r>
        <w:t>https://mcp.opencaselaw.ch/entscheid/ge_gerichte_ATA_379_2023</w:t>
      </w:r>
    </w:p>
    <w:p>
      <w:r>
        <w:t>FR: GE_GERICHTE ATA/379/2023 du 18 avril 2023</w:t>
      </w:r>
    </w:p>
    <w:p>
      <w:r>
        <w:t>IT: GE_GERICHTE ATA/379/2023 del 18 aprile 2023</w:t>
      </w:r>
    </w:p>
    <w:p>
      <w:pPr>
        <w:pStyle w:val="Heading2"/>
      </w:pPr>
      <w:r>
        <w:t>Erwägungen</w:t>
      </w:r>
    </w:p>
    <w:p>
      <w:r>
        <w:rPr>
          <w:b/>
        </w:rPr>
        <w:t>E. 27</w:t>
      </w:r>
    </w:p>
    <w:p>
      <w:r>
        <w:t>février 2014 consid. 5.5.1).</w:t>
      </w:r>
    </w:p>
    <w:p>
      <w:r>
        <w:t>d.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e. Selon la jurisprudence, un effet suspensif ne peut être restitué lorsque le recours est dirigé contre une décision à contenu négatif, soit contre une décision qui</w:t>
      </w:r>
    </w:p>
    <w:p>
      <w:r>
        <w:t>- 11/16 - A/3742/2022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est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 ATA/278/2009 du 4 juin 2009) ; 4) a. Dans une décision subséquente à la décision ATA/10/2023 précitée concernant A______, la chambre administrative a, dans un ATA/229/2023 du 8 mars 2023, admis la restitution de l’effet suspensif au recours formé par une société active dans la livraison de repas, utilisant la plateforme UberEats. La question juridique de fond, à savoir si l’activité telle que pratiquée par la recourante et ses livreurs ressortissait à la LSE ou non, était complexe et nécessitait une instruction plus approfondie. La réponse à cette question n’était pas évidente. L’intérêt public à l’exécution immédiate des décisions rendues par l’État était manifeste. Comme relevé dans la décision ATA/10/2023, cet intérêt devait être mis en balance avec les intérêts privés en jeu. À cet égard, l’intérêt privé de la recourante à pouvoir poursuivre son activité, pendant la durée de la procédure, était d’ordre purement financier. L’intérêt des employés à conserver leur emploi était également d’ordre financier pour ceux-ci. À la différence de la situation d’A______, le nombre d’employés concernés en l’espèce était important. En outre – ce qui n’était pas non plus le cas dans la cause d’A______ –, le syndicat actif, notamment, dans le domaine du service de livraison de repas s’était fait l’écho de l’inquiétude exprimée par les employés face à la décision déclarée exécutoire nonobstant recours, leur sort étant susceptible de basculer pendant la durée de la procédure. Les modalités du contrat de travail semblaient différer sur certains points d’avec celles prévalant dans le cas d’A______, notamment dans la gestion des plannings et l’organisation et la rémunération du temps d’attente. Enfin, contrairement à A______, créée récemment, la recourante était active depuis plus de deux ans et demi.</w:t>
      </w:r>
    </w:p>
    <w:p>
      <w:r>
        <w:t>- 12/16 - A/3742/2022</w:t>
      </w:r>
    </w:p>
    <w:p>
      <w:r>
        <w:t>Le fait que la décision ait été déclarée immédiatement exécutoire impliquait la cessation immédiate de l’activité telle que pratiquée jusque-là par la recourante. Au vu de la masse salariale versée chaque mois, il était vraisemblable qu’elle devrait licencier ses livreurs si la requête de restitution de l’effet suspensif était rejetée. En cas d’admission du recours, les livreurs seraient susceptibles à nouveau de se retrouver employés de la recourante. Il existait ainsi un intérêt public et privé à éviter d’exposer un grand nombre de travailleurs à des revirements de situation importants. S’ajoutait à cela que l’attitude de l’autorité intimée avait créé une attente légitime de la recourante que la décision ne serait pas déclarée exécutoire nonobstant recours. En effet, après une instruction de près de deux ans, l’OCE avait indiqué, le 20 octobre 2022, après un échange ayant eu lieu en juillet 2022, qu’il maintenait sa position, qu’il fixait à la recourante un délai au 31 octobre 2022 pour toute observation complémentaire et que, passé ce délai, il rendrait une décision qui pourrait être assortie de l’effet suspensif. Au vu de ces indications, la recourante pouvait, de bonne foi, partir de l’idée que la décision rendue quelques jours plus tard ne serait pas déclarée exécutoire nonobstant recours.</w:t>
      </w:r>
    </w:p>
    <w:p>
      <w:r>
        <w:t>b. Dans une décision ultérieure ATA/332/2023 du 28 mars 2023, concernant une société ayant pour but en particulier l’exploitation d’une entreprise de transport de personnes et/ou d’objets avec chauffeur via l’application Uber, la chambre de céans a également restitué l’effet suspensif au recours. La question juridique de fond, à savoir si l’activité telle que pratiquée par la recourante et ses chauffeurs ressortissait à la LSE ou non, était complexe et nécessitait une instruction plus approfondie. La réponse à cette question n’était pas évidente. L’intérêt public manifeste à l’exécution immédiate des décisions rendues par l’État devait être mis en balance avec les intérêts privés en jeu, à savoir, celui de la recourante à pouvoir poursuivre son activité, pendant la durée de la procédure, celui des employés à conserver leur emploi, des intérêts d’ordre financier. À la différence de la décision ATA/10/2023, concernant A______, le nombre d’employés concernés en l’espèce était important, à savoir trois cent quatre-vingts personnes. Le sort de plusieurs centaines de chauffeurs était susceptible de basculer pendant la durée de la procédure. Les modalités du contrat de travail semblent différer sur certains points d’avec celles prévalant dans le cas d’A______, notamment dans l’organisation et, désormais, la rémunération du temps d’attente. Enfin, contrairement à A______, créée récemment, la recourante était active depuis plus de deux ans et demi, à l’instar de celle ayant fait l’objet de l’ATA/229/2023. 5) a. Invocable tant par les personnes physiques que morales, la liberté économique (art. 27 de la Constitution fédérale de la Confédération suisse du 18 avril 1999 - Cst. - RS 101) protège toute activité économique privée, exercée à titre professionnel et tendant à la production d'un gain ou d'un revenu (ATF 140 I 218 consid. 6.3 et les références). La liberté économique comprend également le principe de l'égalité de traitement entre personnes appartenant à la même branche économique. Selon ce principe, déduit des art. 27 et 94 Cst., sont prohibées les mesures étatiques qui ne</w:t>
      </w:r>
    </w:p>
    <w:p>
      <w:r>
        <w:t>- 13/16 - A/3742/2022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w:t>
      </w:r>
    </w:p>
    <w:p>
      <w:r>
        <w:t>b.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6) a. Selon son art. 1, 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w:t>
      </w:r>
    </w:p>
    <w:p>
      <w:r>
        <w:t>b. Selon l’art. 12 al. 1 LSE, les employeurs (bailleurs de services) qui font commerce de céder à des tiers (entreprises locataires de services) les services de travailleurs doivent avoir obtenu une autorisation de l’office cantonal du travail (al. 1), soit à Genève l'OCE (art. 2 de la loi sur le service de l’emploi et la location de services du 18 septembre 1992 - LSELS - J 2 05 et 1 du règlement d’exécution de la loi sur le service de l’emploi et la location de services du 14 décembre 1992 - RSELS – J 2 05.01).</w:t>
      </w:r>
    </w:p>
    <w:p>
      <w:r>
        <w:t>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(FF 1985 III 524, p. 581 ss).</w:t>
      </w:r>
    </w:p>
    <w:p>
      <w:r>
        <w:t>c. L’art. 26 de l’ordonnance sur le service de l’emploi et la location de services du 16 janvier 1991 (OSE - RS 823.111) précise l’activité de location de services.</w:t>
      </w:r>
    </w:p>
    <w:p>
      <w:r>
        <w:t>- 14/16 - A/3742/2022</w:t>
      </w:r>
    </w:p>
    <w:p>
      <w:r>
        <w:t>d. Comme critères auxiliaires pour les questions de délimitation, la jurisprudence s'inspire également des directives et commentaires relatifs à la LSE du SECO (arrêts du Tribunal fédéral 2C_132/2018 précité consid. 4.1 ; 2C_543/2014 précité consid. 2.4 ; 2C_356/2012 précité consid. 3.5). 7)</w:t>
      </w:r>
    </w:p>
    <w:p>
      <w:r>
        <w:t>En l’espèce, la recourante concède que son modèle d’activité ne s’est pas modifié depuis le prononcé de la décision de refus de restitution de l’effet suspensif du 10 janvier 2023, si ce n’est que désormais elle ne compte plus que quelques employés, à savoir l’administratrice, un manager et un livreur. Une trentaine de ses livreurs bénéficient de contrats de travail auprès de partenaires. Pendant le délai de congé, elle entend rétribuer si nécessaire la différence entre l’activité qu’ils auront effectivement pu déployer et celle prévue dans leur contrat auprès d’elle.</w:t>
      </w:r>
    </w:p>
    <w:p>
      <w:r>
        <w:t>Si elle explique que sa propre application est désormais fonctionnelle, de sorte qu’il lui est possible de travailler en lien direct avec les restaurateurs, ce qui est le cas actuellement du manager et d’un livreur engagé à 100 %, la phase suivante consiste à trouver suffisamment de restaurateurs pour qu’elle puisse s’affranchir de la plate-forme d’Uber. L’autorité intimée n’est pas opposée à ce qu’elle poursuive son activité selon ce cas de figure. A______ concède toutefois que la plate-form Uber demeure le tremplin nécessaire pour parvenir à la masse critique de restaurateurs lui permettant de fonctionner avec sa seule application.</w:t>
      </w:r>
    </w:p>
    <w:p>
      <w:r>
        <w:t>Elle estime que sa situation devrait connaître le même sort que celui tranché en faveur d’une société concurrente s’étant vue restituer l’effet suspensif à son recours dans la décision ATA/229/2023. Les deux situations en cause présentent toutefois des différences qui impliquaient au moment de leur prononcé, respectivement à ce jour, qu’elles doivent être traitées de manière différente.</w:t>
      </w:r>
    </w:p>
    <w:p>
      <w:r>
        <w:t>Comme relevé dans les décisions reprises en substance ci-dessus, et quand bien même chaque employé a son importance en tant que tel, les deux sociétés pour lesquelles l’effet suspensif a été restitué par la chambre de céans comptaient plusieurs centaines d’employés, contre une trentaine chez la recourante.</w:t>
      </w:r>
    </w:p>
    <w:p>
      <w:r>
        <w:t>Surtout, la recourante n’a commencé son activité qu’en avril 2022, ce qui n’est pas le cas des deux autres sociétés, anciennes de plus de deux ans et demi.</w:t>
      </w:r>
    </w:p>
    <w:p>
      <w:r>
        <w:t>S’y ajoute que pour la première de ces sociétés, l’attitude de l’autorité intimée avait créé une attente légitime de la recourante que la décision ne serait pas déclarée exécutoire nonobstant recours. Or, tel n’est pas le cas en l’espèce, puisqu’au contraire, le 20 octobre 2022, l’autorité intimée a clairement écrit à la recourante que passé le 31 octobre 2022, elle rendrait une décision qui pourrait être assortie du retrait de l’effet suspensif. Au vu de ces indications, la recourante devait partir de l’idée que la décision rendue quelques jours plus tard pourrait être déclarée exécutoire nonobstant recours.</w:t>
      </w:r>
    </w:p>
    <w:p>
      <w:r>
        <w:t>- 15/16 - A/3742/2022</w:t>
      </w:r>
    </w:p>
    <w:p>
      <w:r>
        <w:t>Depuis la décision du 10 janvier 2023, la recourante a replacé une trentaine de ses chauffeurs chez des partenaires, de sorte que si le retrait de l’effet suspensif était confirmé, lesdits livreurs conserveraient le revenu versé par leur nouvel employeur, complété si nécessaire, pendant le solde du délai de congé, par la recourante. Au vu de la situation prévalant, ces livreurs ne sont pas exposés à un préjudice financier, ni à un revirement de situation important.</w:t>
      </w:r>
    </w:p>
    <w:p>
      <w:r>
        <w:t>Certes, la recourante peut être suivie lorsqu’elle expose que son fonctionnement actuel a un coût, en termes de salaires à verser à son manager et au livreur susmentionnés, de différence de revenu à assumer à l’égard de la trentaine de livreurs susmentionnés, en sus des frais de maintenance de son application, au point que sa pérennité serait compromise. Cette situation ne justifie toutefois pas qu’il soit, dans la pesée des intérêts, accordé plus de poids à cet intérêt purement financier de la recourante qu’à l’intérêt public manifeste au respect de la loi.</w:t>
      </w:r>
    </w:p>
    <w:p>
      <w:r>
        <w:t>Les parties s’opposent sur la qualification de l’activité de la recourante et sa soumission ou non à la LSE. Il s’agit, comme déjà relevé, d’une question complexe qui va nécessiter une analyse approfondie de la chambre de céans.</w:t>
      </w:r>
    </w:p>
    <w:p>
      <w:r>
        <w:t>Les chances de succès du recours n’apparaissent pas évidentes.</w:t>
      </w:r>
    </w:p>
    <w:p>
      <w:r>
        <w:t>Aussi, il se justifie de mettre en balance, in concreto, les intérêts de l’État au respect sans délai de la LSE dont le but est notamment de protéger les travailleurs, et celui privé de la recourante à poursuivre sans autre son activité le temps de la procédure, soit un intérêt purement financier, pour constater que le premier doit l’emporter.</w:t>
      </w:r>
    </w:p>
    <w:p>
      <w:r>
        <w:t>La demande de restitution de l’effet suspensif sera donc rejetée.</w:t>
      </w:r>
    </w:p>
    <w:p>
      <w:r>
        <w:t>La recourante ne saurait davantage obtenir par le biais de mesures provisionnelles, censées être l'exception en cas de décision négative, la levée de l'interdiction de poursuivre son activité, s’entendant avec usage de la plate-forme Uber, une activité au moyen de sa seule application demeurant possible.</w:t>
      </w:r>
    </w:p>
    <w:p>
      <w:r>
        <w:t>De telles mesures provisionnelles seront donc de même refusées. 8)</w:t>
      </w:r>
    </w:p>
    <w:p>
      <w:r>
        <w:t>Le sort des frais sera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