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ATA/378/2013 vom 18. Juni 2013</w:t>
      </w:r>
    </w:p>
    <w:p>
      <w:r>
        <w:t>GE Cour de justice, 2013-06-18, FR</w:t>
      </w:r>
    </w:p>
    <w:p>
      <w:r>
        <w:rPr>
          <w:b/>
        </w:rPr>
        <w:t xml:space="preserve">Quelle: </w:t>
      </w:r>
      <w:r>
        <w:t>https://mcp.opencaselaw.ch/entscheid/ge_gerichte_ATA_378_2013</w:t>
      </w:r>
    </w:p>
    <w:p>
      <w:r>
        <w:t>FR: GE_GERICHTE ATA/378/2013 du 18 juin 2013</w:t>
      </w:r>
    </w:p>
    <w:p>
      <w:r>
        <w:t>IT: GE_GERICHTE ATA/378/2013 del 18 giugno 2013</w:t>
      </w:r>
    </w:p>
    <w:p>
      <w:pPr>
        <w:pStyle w:val="Heading2"/>
      </w:pPr>
      <w:r>
        <w:t>Erwägungen</w:t>
      </w:r>
    </w:p>
    <w:p>
      <w:r>
        <w:rPr>
          <w:b/>
        </w:rPr>
        <w:t>E. 1</w:t>
      </w:r>
    </w:p>
    <w:p>
      <w:r>
        <w:t>Les décisions de la CSProf. peuvent faire l'objet d'un recours dans les dix jours qui suivent leur notification auprès de la chambre administrative (art. 12 al. 5 de la loi sur la santé du 7 avril 2006 – LS – K 1 03).</w:t>
      </w:r>
    </w:p>
    <w:p>
      <w:r>
        <w:t>En l’espèce, le recours a été interjeté en temps utile devant la juridiction compétente (art. 132 de la loi sur l'organisation judiciaire du 26 septembre 2010 - LOJ - E 2 05 ; art. 62 al. 1 let. a de la loi sur la procédure administrative du 12 septembre 1985 - LPA - E 5 10).</w:t>
      </w:r>
    </w:p>
    <w:p>
      <w:r>
        <w:t>Le recourant, partie à la procédure devant la CSProf. et destinataire de la décision contestée, dispose de la qualité pour recourir (art. 60 al. 1 let. a LPA).</w:t>
      </w:r>
    </w:p>
    <w:p>
      <w:r>
        <w:t>Au vu de ce qui précède, le recours est recevable.</w:t>
      </w:r>
    </w:p>
    <w:p>
      <w:r>
        <w:rPr>
          <w:b/>
        </w:rPr>
        <w:t>E. 2</w:t>
      </w:r>
    </w:p>
    <w:p>
      <w:r>
        <w:t>Le recourant reproche à la CSProf. d’avoir refusé de donner suite à sa requête tendant à la levée du secret professionnel des médecins ayant participé à la procédure instruite par la CDC, au motif que seuls ces derniers étaient habilités à la saisir.</w:t>
      </w:r>
    </w:p>
    <w:p>
      <w:r>
        <w:t>Selon l’art. 321 ch. 1 CP, les médecins qui auront révélé un secret à eux confié en vertu de leur profession ou dont ils avaient eu connaissance dans l'exercice de celle-ci, sont punissables. Ne font exception que les cas où la révélation a été faite avec le consentement de l'intéressé ou si, sur la proposition du détenteur du secret, l'autorité supérieure ou l'autorité de surveillance l'a autorisée par écrit (art. 321 ch. 2 CP). Demeurent réservées les dispositions de la législation fédérale et cantonale statuant une obligation de renseigner une autorité ou de témoigner en justice (art. 321 ch. 3 CP).</w:t>
      </w:r>
    </w:p>
    <w:p>
      <w:r>
        <w:t>L’art. 171 al. 1 CPP prévoit que les médecins peuvent refuser de témoigner sur les secrets qui leur ont été confiés en vertu de leur profession ou dont ils ont eu connaissance dans l'exercice de celle-ci. Ils doivent témoigner lorsqu’ils sont</w:t>
      </w:r>
    </w:p>
    <w:p>
      <w:r>
        <w:t>- 6/8 - A/299/2013 soumis à l’obligation de dénoncer (art. 171 al. 2 let. a CPP) et lorsqu'ils sont déliés du secret, selon l'art. 321 ch. 2 CP, par le maître du secret ou, en la forme écrite, par l'autorité compétente (art. 171 al. 2 let. b CPP). Toutefois, l'autorité pénale respecte le secret professionnel même si le détenteur en a été délié lorsque celui-ci rend vraisemblable que l'intérêt du maître du secret au maintien de celui-ci l'emporte sur l'intérêt à la manifestation de la vérité (art. 171 al. 3 CPP).</w:t>
      </w:r>
    </w:p>
    <w:p>
      <w:r>
        <w:t>Selon l’art. 88 al. 1 LS en relation avec l’art. 12 al. 1 LS, une personne tenue au secret professionnel peut en être déliée par le patient ou, s’il existe de justes motifs, par la CSProf. Sont réservées les dispositions légales concernant l’obligation de renseigner une autorité ou de témoigner en justice (art. 88 al. 2 LS).</w:t>
      </w:r>
    </w:p>
    <w:p>
      <w:r>
        <w:rPr>
          <w:b/>
        </w:rPr>
        <w:t>E. 3</w:t>
      </w:r>
    </w:p>
    <w:p>
      <w:r>
        <w:t>La situation est délicate lorsque le client du médecin ne peut donner son consentement parce qu'il est décédé. Dans ce cas, seul le professionnel de la santé concerné peut saisir l’autorité de surveillance (art. 321 ch. 2 CP ; D. MANAI, Droits du patient et biomédecine, Berne 2013, p. 159 ; J. MARTIN/O. GUILLOD, Quelle attitude du praticien quand des instances ou personnes extérieures demandent des renseignements à propos d'un patient? in Colloques et Journées d'étude de l'Institut de recherches sur le droit de la responsabilité civile et des assurances, Lausanne 2002, p. 430 ; J. STROUN/D. BERTRAND, Médecin, secret médical et justice, in Médecin et droit médical, 2e éd., pp. 168 et 169). En définitive, la décision de requérir d'être ou non délié du secret professionnel dépend du médecin concerné, qui doit examiner les intérêts contradictoires en présence, étant rappelé que l'autorisation doit être accordée lorsque l'intérêt à la divulgation l'emporte sur celui au maintien du secret, ce qui peut être le cas pour la famille du patient décédé. Dans ces conditions, la volonté du professionnel en cause, qui peut aussi s'avérer arbitraire, est décisive ; seul un revirement de ce dernier permet de résoudre la situation de blocage se présentant lorsque le médecin se trompe en effectuant la pesée des intérêts contradictoires à laquelle il doit procéder. (Arrêt du Tribunal fédéral du 7 novembre 2006 4C_11/2006 consid. 2.3.1).</w:t>
      </w:r>
    </w:p>
    <w:p>
      <w:r>
        <w:rPr>
          <w:b/>
        </w:rPr>
        <w:t>E. 4</w:t>
      </w:r>
    </w:p>
    <w:p>
      <w:r>
        <w:t>Certaines dispositions de droit fédéral ou cantonal offrent la faculté ou imposent au médecin de transmettre des informations de nature médicale à des autorités désignées par la loi, conformément à l’art. 14 et à l’art. 321 ch. 3 CP, par exemple l’art. 15d al. 3 de la loi fédérale sur la circulation routière du 19 décembre 1958 (LCR – RS 741.01) concernant l’aptitude à conduire un véhicule automobile, l’art. 364 CP visant la sauvegarde des intérêts des mineurs, ou encore la législation fédérale et cantonale concernant les maladies transmissibles de l’homme (art. 27 de la loi fédérale sur la lutte contre les maladies transmissibles de l’homme du 18 décembre 1970 - Loi sur les épidémies - RS 818.101 ; art. 1 à 3 de l’ordonnance sur la déclaration des maladies transmissibles de l’homme du 13 janvier 1999 - Ordonnance sur la déclaration -</w:t>
      </w:r>
    </w:p>
    <w:p>
      <w:r>
        <w:t>- 7/8 - A/299/2013 RS 8181.141.1). Dans ces différentes situations, le critère de sauvegarde et de protection de l’intérêt public l’emporte sur le devoir de discrétion du médecin : si celui-ci est tenu de fournir les renseignements nécessaires chaque fois qu’une norme de droit fédéral ou cantonal lui en fait obligation – le médecin doit transmettre les informations demandées – il est par contre libre de transmettre, ou non, des informations lorsque la norme juridique se limite à lui offrir cette faculté – le médecin peut transmettre les information demandées (D. BERTRAND/J.-F. DUMOULIN/R. LA HARPE/M. UMMEL, Médecin et droit médical, Présentations et résolution de situations médico-légales, 3ème éd., 2009, p. 185 ss).</w:t>
      </w:r>
    </w:p>
    <w:p>
      <w:r>
        <w:rPr>
          <w:b/>
        </w:rPr>
        <w:t>E. 5</w:t>
      </w:r>
    </w:p>
    <w:p>
      <w:r>
        <w:t>En l’espèce, il n’y a pas d’obligation légale de dénoncer et la patiente est décédée. Le secret professionnel ne peut par conséquent être levé que par la CSProf. Aucune norme ne permet au Ministère public de saisir la commission précitée. D’autre part, la chambre administrative n’a aucune compétence pour vérifier l’application des règles de la procédure pénale.</w:t>
      </w:r>
    </w:p>
    <w:p>
      <w:r>
        <w:t>Par conséquent, sur le plan administratif, seuls les médecins membres de la CDC étaient habilités à saisir la CSProf. pour demander la levée du secret en question.</w:t>
      </w:r>
    </w:p>
    <w:p>
      <w:r>
        <w:rPr>
          <w:b/>
        </w:rPr>
        <w:t>E. 6</w:t>
      </w:r>
    </w:p>
    <w:p>
      <w:r>
        <w:t>Mal fondé, le recours sera rejeté.</w:t>
      </w:r>
    </w:p>
    <w:p>
      <w:r>
        <w:rPr>
          <w:b/>
        </w:rPr>
        <w:t>E. 7</w:t>
      </w:r>
    </w:p>
    <w:p>
      <w:r>
        <w:t>Aucun émolument ne sera prélevé, conformément à l'art. 87 al. 1 LPA. Vu l'issue du litige, une indemnité de procédure de CHF 500.-, à charge de l'Etat de Genève, sera en revanche allouée à la CDC, qui a allégué avoir encouru des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