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ATA/378/2012 vom 12. Juni 2012</w:t>
      </w:r>
    </w:p>
    <w:p>
      <w:r>
        <w:t>GE Cour de justice, 2012-06-12, FR</w:t>
      </w:r>
    </w:p>
    <w:p>
      <w:r>
        <w:rPr>
          <w:b/>
        </w:rPr>
        <w:t xml:space="preserve">Quelle: </w:t>
      </w:r>
      <w:r>
        <w:t>https://mcp.opencaselaw.ch/entscheid/ge_gerichte_ATA_378_2012</w:t>
      </w:r>
    </w:p>
    <w:p>
      <w:r>
        <w:t>FR: GE_GERICHTE ATA/378/2012 du 12 juin 2012</w:t>
      </w:r>
    </w:p>
    <w:p>
      <w:r>
        <w:t>IT: GE_GERICHTE ATA/378/2012 del 12 giugno 2012</w:t>
      </w:r>
    </w:p>
    <w:p>
      <w:pPr>
        <w:pStyle w:val="Heading2"/>
      </w:pPr>
      <w:r>
        <w:t>Regeste</w:t>
      </w:r>
    </w:p>
    <w:p>
      <w:r>
        <w:t>Résumé: Réduction du montant de la taxe unique à CHF 40'000.-, laquelle se fonde sur un arrêté du Conseil d'Etat annulé par arrêt du Tribunal fédéral.</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Aux termes de l'art. 11 LTaxis, l’autorisation d’exploiter un taxi de service public est strictement personnelle et intransmissible; elle est délivrée par le département à une personne physique lorsqu’elle :</w:t>
      </w:r>
    </w:p>
    <w:p>
      <w:r>
        <w:t>a. est au bénéfice d’une carte professionnelle de chauffeur de taxi ;</w:t>
      </w:r>
    </w:p>
    <w:p>
      <w:r>
        <w:t>- 4/7 - A/3826/2011</w:t>
      </w:r>
    </w:p>
    <w:p>
      <w:r>
        <w:t>b. se voit délivrer un permis de service public ;</w:t>
      </w:r>
    </w:p>
    <w:p>
      <w:r>
        <w:t>c. dispose d’une adresse professionnelle fixe dans le canton de Genève à laquelle elle peut être atteinte, notamment par téléphone ou par le biais de la centrale à laquelle elle est affiliée ;</w:t>
      </w:r>
    </w:p>
    <w:p>
      <w:r>
        <w:t>d. justifie de sa solvabilité et de son affiliation à une caisse de compensation ;</w:t>
      </w:r>
    </w:p>
    <w:p>
      <w:r>
        <w:t>e. est propriétaire ou preneur de leasing d’un véhicule répondant aux exigences du droit fédéral et de la présente loi, immatriculé à son nom dans le canton de Genève.</w:t>
      </w:r>
    </w:p>
    <w:p>
      <w:r>
        <w:rPr>
          <w:b/>
        </w:rPr>
        <w:t>E. 3</w:t>
      </w:r>
    </w:p>
    <w:p>
      <w:r>
        <w:t>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w:t>
      </w:r>
    </w:p>
    <w:p>
      <w:r>
        <w:t>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w:t>
      </w:r>
    </w:p>
    <w:p>
      <w:r>
        <w:t>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w:t>
      </w:r>
    </w:p>
    <w:p>
      <w:r>
        <w:t>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w:t>
      </w:r>
    </w:p>
    <w:p>
      <w:r>
        <w:t>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w:t>
      </w:r>
    </w:p>
    <w:p>
      <w:r>
        <w:t>- 5/7 - A/3826/2011 adéquat est atteint et reste stable, le Conseil d’Etat fixe le montant de la taxe et du montant compensatoire selon les principes de l’art. 21 al. 6 LTaxis.</w:t>
      </w:r>
    </w:p>
    <w:p>
      <w:r>
        <w:t>L' art. 21 al. 6 du règlement d’exécution de la LTaxis (RTaxis – H 1 30.01) prévoit que la taxe pour la délivrance d’un permis de service public peut être fixée à un montant maximum de CHF 200'000.</w:t>
      </w:r>
    </w:p>
    <w:p>
      <w:r>
        <w:rPr>
          <w:b/>
        </w:rPr>
        <w:t>E. 4</w:t>
      </w:r>
    </w:p>
    <w:p>
      <w:r>
        <w:t>Le 19 mai 2010, se fondant notamment sur l'art. 21 al. 6 LTaxis, le Conseil d'Etat a adopté l'arrêté fixant la taxe unique à CHF 82'500.-.</w:t>
      </w:r>
    </w:p>
    <w:p>
      <w:r>
        <w:t>Cet arrêté a été annulé par le Tribunal fédéral. Il ressort de son arrêt que la taxe unique ne vise pas à compenser l'avantage octroyé par l'Etat en terme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trouvait à s'appliquer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w:t>
      </w:r>
    </w:p>
    <w:p>
      <w:r>
        <w:rPr>
          <w:b/>
        </w:rPr>
        <w:t>E. 5</w:t>
      </w:r>
    </w:p>
    <w:p>
      <w:r>
        <w:t>Il découle de l'arrêt susmentionné que la perception de la taxe unique ne peut se fonder que sur l'art. 21 al. 6 LTaxis, qui fixe son montant à CHF 40'000.-, ce que l'intimé ne conteste pas. Le SCOM soutient en revanche que l'arrêté a déployé ses effets jusqu'à ce qu'il ait eu connaissance de l'arrêt du Tribunal fédéral l'annulant.</w:t>
      </w:r>
    </w:p>
    <w:p>
      <w:r>
        <w:t>Ce raisonnement ne peut être suivi en l'espèce. Il ressort des considérants de l'ATF 2C_609/2010 que, dépourvu de base légale ab initio, l'arrêté - qui a été attaqué dans les trente jours dès sa promulgation pour ce motif - est vicié de telle manière qu'il ne peut en aucune manière constituer une cause valable de perception du montant de CHF 82'500.-, cela de son adoption son annulation. La lecture de l'ordonnance est d'ailleurs éloquente sur ce point, l'effet suspensif n'ayant pas été accordé au recours au motif notamment qu'en cas de succès de celui-ci, l'Etat de Genève était à même de rembourser les montants indûment perçus.</w:t>
      </w:r>
    </w:p>
    <w:p>
      <w:r>
        <w:t>Peu importe que le recourant ait accepté la proposition de se voir délivrer le permis sollicité alors que le Scom indiquait que la taxe unique à acquitter était CHF 82'500.-, dès lors que le système légal subordonne la délivrance de ce permis au versement de cette taxe. Contrairement à ce que la formulation utilisée par le Scom dans ses courriers, la relation avec les personnes sollicitant une autorisation d'exploiter un taxi de service public n'a rien de contractuel. Il s'agit d'une pure relation de droit public, sans marge d'appréciation pour l'autorité qui doit délivrer l'autorisation si les conditions - dont le versement de la taxe - sont remplies par le</w:t>
      </w:r>
    </w:p>
    <w:p>
      <w:r>
        <w:t>- 6/7 - A/3826/2011 requérant. Dans ce contexte, au vu de l'argumentation développée par les auteurs du recours devant le Tribunal fédéral et du contenu de l'ordonnance, le Scom ne pouvait ignorer qu'il pouvait être amené à modifier de montant, voire à en rembourser une partie, selon l'issue du litige alors en cours.</w:t>
      </w:r>
    </w:p>
    <w:p>
      <w:r>
        <w:rPr>
          <w:b/>
        </w:rPr>
        <w:t>E. 6</w:t>
      </w:r>
    </w:p>
    <w:p>
      <w:r>
        <w:t>Au vu ce qui précède, le recours doit être admis. La décision attaquée sera annulée et le Scom devra délivrer le permis sollicité contre versement d’une taxe unique de CHF 40'000.-. Malgré l’issue du litige, aucun émolument ne sera mis à la charge du Scom (art. 87 al. 1 LPA). Une indemnité de procédure de CHF 1'500.- sera allouée au recourant, à la charge de l'Etat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