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ATA/378/2010 vom 30. Januar 2009</w:t>
      </w:r>
    </w:p>
    <w:p>
      <w:r>
        <w:t>GE Cour de justice, 2009-01-30, FR</w:t>
      </w:r>
    </w:p>
    <w:p>
      <w:r>
        <w:rPr>
          <w:b/>
        </w:rPr>
        <w:t xml:space="preserve">Quelle: </w:t>
      </w:r>
      <w:r>
        <w:t>https://mcp.opencaselaw.ch/entscheid/ge_gerichte_ATA_378_2010</w:t>
      </w:r>
    </w:p>
    <w:p>
      <w:r>
        <w:t>FR: GE_GERICHTE ATA/378/2010 du 30 janvier 2009</w:t>
      </w:r>
    </w:p>
    <w:p>
      <w:r>
        <w:t>IT: GE_GERICHTE ATA/378/2010 del 30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La demande de renouvellement de l’autorisation de séjour a été déposée par la recourante le 12 décembre 2007, soit avant l’entrée en vigueur, le 1er janvier 2008 de la LEtr. En vertu de la règle transitoire prévue à l’art. 126 al. 1 LEtr, le litige est donc régi par la LSEE (Arrêt du Tribunal fédéral 2C_771/2009 du 1er février 2010 ; ATA/278/2010 du 27 avril 2010 a contrario).</w:t>
      </w:r>
    </w:p>
    <w:p>
      <w:r>
        <w:t>Il résulte de ce qui précède que c’est à juste titre que la CCRA a examiné la demande de renouvellement de l’autorisation de séjour de la recourante à l’aune de la LSEE. A cet égard, la décision querellée ne souffre aucune critique.</w:t>
      </w:r>
    </w:p>
    <w:p>
      <w:r>
        <w:rPr>
          <w:b/>
        </w:rPr>
        <w:t>E. 3</w:t>
      </w:r>
    </w:p>
    <w:p>
      <w:r>
        <w:t>La procédure de renvoi cantonale n’a été déclenchée par l’OCP qu’avec sa décision du 30 janvier 2009. C’est dès lors le nouveau droit des étrangers qui</w:t>
      </w:r>
    </w:p>
    <w:p>
      <w:r>
        <w:t>- 4/6 - A/629/2009 s’applique (Arrêt du Tribunal administratif fédéral C-2918/2008 du 1er janvier 2008).</w:t>
      </w:r>
    </w:p>
    <w:p>
      <w:r>
        <w:t>Or, la CCRA a précisément examiné la question de l’exigibilité du renvoi à la lumière de l’art. 83 LEtr. A cet égard également la décision de la CCRA ne peut être que confirmée.</w:t>
      </w:r>
    </w:p>
    <w:p>
      <w:r>
        <w:rPr>
          <w:b/>
        </w:rPr>
        <w:t>E. 4</w:t>
      </w:r>
    </w:p>
    <w:p>
      <w:r>
        <w:t>La recourante ne remet pas en cause la solution préconisée par la CCRA, à savoir l’examen de son admission provisoire. L’OCP pour sa part y a expressément souscrit.</w:t>
      </w:r>
    </w:p>
    <w:p>
      <w:r>
        <w:t>Il s’ensuit qu’aucun des griefs soulevés par la recourante n’étant fondés, le recours ne peut être que rejeté et la décision querellée confirmée.</w:t>
      </w:r>
    </w:p>
    <w:p>
      <w:r>
        <w:rPr>
          <w:b/>
        </w:rPr>
        <w:t>E. 5</w:t>
      </w:r>
    </w:p>
    <w:p>
      <w:r>
        <w:t>Vu l’issue du litige, un émolument de CHF 400.- sera mis à la charge de la recourante qui succombe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