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ATA/377/2011 vom 14. Juni 2011</w:t>
      </w:r>
    </w:p>
    <w:p>
      <w:r>
        <w:t>GE Cour de justice, 2011-06-14, FR</w:t>
      </w:r>
    </w:p>
    <w:p>
      <w:r>
        <w:rPr>
          <w:b/>
        </w:rPr>
        <w:t xml:space="preserve">Quelle: </w:t>
      </w:r>
      <w:r>
        <w:t>https://mcp.opencaselaw.ch/entscheid/ge_gerichte_ATA_377_2011</w:t>
      </w:r>
    </w:p>
    <w:p>
      <w:r>
        <w:t>FR: GE_GERICHTE ATA/377/2011 du 14 juin 2011</w:t>
      </w:r>
    </w:p>
    <w:p>
      <w:r>
        <w:t>IT: GE_GERICHTE ATA/377/2011 del 14 giugno 2011</w:t>
      </w:r>
    </w:p>
    <w:p>
      <w:pPr>
        <w:pStyle w:val="Heading2"/>
      </w:pPr>
      <w:r>
        <w:t>Erwägungen</w:t>
      </w:r>
    </w:p>
    <w:p>
      <w:r>
        <w:rPr>
          <w:b/>
        </w:rPr>
        <w:t>E. 1</w:t>
      </w:r>
    </w:p>
    <w:p>
      <w:r>
        <w:t>La recevabilité du recours sera laissée ouverte en l'état.</w:t>
      </w:r>
    </w:p>
    <w:p>
      <w:r>
        <w:rPr>
          <w:b/>
        </w:rPr>
        <w:t>E. 2</w:t>
      </w:r>
    </w:p>
    <w:p>
      <w:r>
        <w:t>Selon l’article 66 alinéa 1 LPA,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3</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Il est donc exclu d’attribuer un effet suspensif à une décision négative. Dans un tel cas, la voie à suivre est celle de mesures provisionnelles (ATF 117 V 185 et ss ; ACOM/21/2008 du 20 février 2008 et les références citées).</w:t>
      </w:r>
    </w:p>
    <w:p>
      <w:r>
        <w:t>- 4/5 - A/1724/2011</w:t>
      </w:r>
    </w:p>
    <w:p>
      <w:r>
        <w:t>Ainsi, la chambre administrative examinera la demande présentée par le recourant exclusivement sous l’angle des mesures provisionnelles.</w:t>
      </w:r>
    </w:p>
    <w:p>
      <w:r>
        <w:rPr>
          <w:b/>
        </w:rPr>
        <w:t>E. 4</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w:t>
      </w:r>
    </w:p>
    <w:p>
      <w:r>
        <w:rPr>
          <w:b/>
        </w:rPr>
        <w:t>E. 5</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 (ATA/155/2009 du 27 mars 2009; ATA/29/2011 du 18 janvier 2011).</w:t>
      </w:r>
    </w:p>
    <w:p>
      <w:r>
        <w:rPr>
          <w:b/>
        </w:rPr>
        <w:t>E. 6</w:t>
      </w:r>
    </w:p>
    <w:p>
      <w:r>
        <w:t>Compte tenu de ce qui précède, la requête en mesures provisionnelles sera rejetée (art. 7 du règlement interne de la chambre administrative du 21 décembre 2010, entré en vigueur le 1er janvier 2011).</w:t>
      </w:r>
    </w:p>
    <w:p>
      <w:r>
        <w:rPr>
          <w:b/>
        </w:rPr>
        <w:t>E. 7</w:t>
      </w:r>
    </w:p>
    <w:p>
      <w:r>
        <w:t>Le sort des frais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